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D8E26" w14:textId="35B86278" w:rsidR="00991216" w:rsidRDefault="00000000">
      <w:pPr>
        <w:pStyle w:val="Heading1"/>
      </w:pPr>
      <w:r>
        <w:t>Washington State Plan on Aging</w:t>
      </w:r>
      <w:r w:rsidR="00087862">
        <w:t xml:space="preserve"> Attachments</w:t>
      </w:r>
    </w:p>
    <w:p w14:paraId="650D8E29" w14:textId="5FF45336" w:rsidR="00991216" w:rsidRDefault="00F143ED" w:rsidP="00E54483">
      <w:pPr>
        <w:pStyle w:val="Subtitle"/>
      </w:pPr>
      <w:r>
        <w:t xml:space="preserve">Attachment W - </w:t>
      </w:r>
      <w:r>
        <w:t>2025 Amendment (Final Rule Compliance)</w:t>
      </w:r>
    </w:p>
    <w:tbl>
      <w:tblPr>
        <w:tblW w:w="9350" w:type="dxa"/>
        <w:tblCellMar>
          <w:left w:w="10" w:type="dxa"/>
          <w:right w:w="10" w:type="dxa"/>
        </w:tblCellMar>
        <w:tblLook w:val="04A0" w:firstRow="1" w:lastRow="0" w:firstColumn="1" w:lastColumn="0" w:noHBand="0" w:noVBand="1"/>
      </w:tblPr>
      <w:tblGrid>
        <w:gridCol w:w="3235"/>
        <w:gridCol w:w="6115"/>
      </w:tblGrid>
      <w:tr w:rsidR="00991216" w14:paraId="650D8E2C" w14:textId="77777777">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D8E2A" w14:textId="77777777" w:rsidR="00991216" w:rsidRDefault="00000000" w:rsidP="00D71983">
            <w:pPr>
              <w:spacing w:after="0" w:line="240" w:lineRule="auto"/>
              <w:ind w:left="337" w:hanging="270"/>
              <w:jc w:val="center"/>
            </w:pPr>
            <w:r>
              <w:t>Topic Area</w:t>
            </w:r>
          </w:p>
        </w:tc>
        <w:tc>
          <w:tcPr>
            <w:tcW w:w="6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D8E2B" w14:textId="77777777" w:rsidR="00991216" w:rsidRDefault="00000000" w:rsidP="00E54483">
            <w:pPr>
              <w:spacing w:after="0" w:line="240" w:lineRule="auto"/>
              <w:jc w:val="center"/>
            </w:pPr>
            <w:r>
              <w:t>Amendment</w:t>
            </w:r>
          </w:p>
        </w:tc>
      </w:tr>
      <w:tr w:rsidR="007210A1" w14:paraId="2C0A81C3" w14:textId="77777777">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DEDDE" w14:textId="0982693F" w:rsidR="007210A1" w:rsidRDefault="009A1D50" w:rsidP="00D71983">
            <w:pPr>
              <w:pStyle w:val="ListParagraph"/>
              <w:numPr>
                <w:ilvl w:val="0"/>
                <w:numId w:val="11"/>
              </w:numPr>
              <w:spacing w:after="0" w:line="240" w:lineRule="auto"/>
              <w:ind w:left="337"/>
            </w:pPr>
            <w:hyperlink r:id="rId7" w:anchor="p-1321.31(b)(2)" w:history="1">
              <w:r w:rsidRPr="009A1D50">
                <w:rPr>
                  <w:rStyle w:val="Hyperlink"/>
                </w:rPr>
                <w:t>45 CFR 1321.31(b)(2)</w:t>
              </w:r>
            </w:hyperlink>
            <w:r>
              <w:t xml:space="preserve"> </w:t>
            </w:r>
            <w:r w:rsidR="008F2D4E" w:rsidRPr="00C30F20">
              <w:rPr>
                <w:b/>
                <w:bCs/>
              </w:rPr>
              <w:t>A change in the name or organizational placement of the State agency</w:t>
            </w:r>
            <w:r w:rsidR="00E022FB">
              <w:rPr>
                <w:b/>
                <w:bCs/>
              </w:rPr>
              <w:t>.</w:t>
            </w:r>
          </w:p>
        </w:tc>
        <w:tc>
          <w:tcPr>
            <w:tcW w:w="6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DAD69" w14:textId="455D1461" w:rsidR="00247B62" w:rsidRDefault="00BA44DB" w:rsidP="007210A1">
            <w:pPr>
              <w:spacing w:after="0" w:line="240" w:lineRule="auto"/>
            </w:pPr>
            <w:r>
              <w:t>Washington state’s current approved State Plan on Aging references the Aging and Long-Term Support Administration (ALTSA) as the</w:t>
            </w:r>
            <w:r w:rsidR="00A94FF7" w:rsidRPr="00A94FF7">
              <w:t xml:space="preserve"> designated State Unit on Aging</w:t>
            </w:r>
            <w:r w:rsidR="00D7353A">
              <w:t xml:space="preserve"> (SUA)</w:t>
            </w:r>
            <w:r w:rsidR="00A94FF7" w:rsidRPr="00A94FF7">
              <w:t xml:space="preserve"> to administer the federal programs under the O</w:t>
            </w:r>
            <w:r>
              <w:t>lder Americans Act (O</w:t>
            </w:r>
            <w:r w:rsidR="00A94FF7" w:rsidRPr="00A94FF7">
              <w:t>AA</w:t>
            </w:r>
            <w:r>
              <w:t>)</w:t>
            </w:r>
            <w:r w:rsidR="00A94FF7" w:rsidRPr="00A94FF7">
              <w:t>.</w:t>
            </w:r>
            <w:r w:rsidR="00247B62">
              <w:t xml:space="preserve"> Effective May 1, 2025, the Department of Social and Health Services has consolidated key functions of ALTSA along with </w:t>
            </w:r>
            <w:r w:rsidR="00885D4A">
              <w:t>th</w:t>
            </w:r>
            <w:r w:rsidR="00885D4A" w:rsidRPr="00885D4A">
              <w:t>e Behavioral Health</w:t>
            </w:r>
            <w:r w:rsidR="00885D4A">
              <w:t xml:space="preserve"> and</w:t>
            </w:r>
            <w:r w:rsidR="00885D4A" w:rsidRPr="00885D4A">
              <w:t xml:space="preserve"> Developmental Disabilities</w:t>
            </w:r>
            <w:r w:rsidR="00885D4A">
              <w:t xml:space="preserve"> Administrations into two core entities: </w:t>
            </w:r>
            <w:r w:rsidR="00D7353A">
              <w:t xml:space="preserve">the </w:t>
            </w:r>
            <w:r w:rsidR="00D7353A" w:rsidRPr="00D7353A">
              <w:t>Behavioral Health and Habilitation Administration</w:t>
            </w:r>
            <w:r w:rsidR="00500C43">
              <w:t>,</w:t>
            </w:r>
            <w:r w:rsidR="00D7353A">
              <w:t xml:space="preserve"> and the </w:t>
            </w:r>
            <w:r w:rsidR="00D7353A" w:rsidRPr="00D7353A">
              <w:t>Home and Community Living Administration</w:t>
            </w:r>
            <w:r w:rsidR="00D7353A">
              <w:t xml:space="preserve"> (HCLA). </w:t>
            </w:r>
            <w:r w:rsidR="00D71983">
              <w:t>As a result</w:t>
            </w:r>
            <w:r w:rsidR="00D7353A">
              <w:t xml:space="preserve">, HCLA is replacing ALTSA as the designated State Unit on Aging for Washington state. </w:t>
            </w:r>
          </w:p>
          <w:p w14:paraId="1D4678C7" w14:textId="77777777" w:rsidR="00D7353A" w:rsidRDefault="00D7353A" w:rsidP="007210A1">
            <w:pPr>
              <w:spacing w:after="0" w:line="240" w:lineRule="auto"/>
            </w:pPr>
          </w:p>
          <w:p w14:paraId="2B7B1612" w14:textId="42D1A478" w:rsidR="00A94FF7" w:rsidRDefault="00D7353A" w:rsidP="007210A1">
            <w:pPr>
              <w:spacing w:after="0" w:line="240" w:lineRule="auto"/>
            </w:pPr>
            <w:r>
              <w:t xml:space="preserve">More information can be found on the Department of Social and Health Service’s webpage here: </w:t>
            </w:r>
            <w:hyperlink r:id="rId8" w:history="1">
              <w:r w:rsidR="00E84AC8" w:rsidRPr="00E84AC8">
                <w:rPr>
                  <w:rStyle w:val="Hyperlink"/>
                </w:rPr>
                <w:t>Organizational Changes at DSHS | DSHS</w:t>
              </w:r>
            </w:hyperlink>
            <w:r w:rsidR="00E84AC8">
              <w:t>.</w:t>
            </w:r>
          </w:p>
        </w:tc>
      </w:tr>
      <w:tr w:rsidR="00991216" w14:paraId="650D8E37" w14:textId="77777777">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D8E2D" w14:textId="40B5DB5A" w:rsidR="00991216" w:rsidRDefault="00381432" w:rsidP="00D71983">
            <w:pPr>
              <w:pStyle w:val="ListParagraph"/>
              <w:numPr>
                <w:ilvl w:val="0"/>
                <w:numId w:val="11"/>
              </w:numPr>
              <w:spacing w:after="0" w:line="240" w:lineRule="auto"/>
              <w:ind w:left="337"/>
            </w:pPr>
            <w:hyperlink r:id="rId9" w:anchor="p-1321.27(d)" w:history="1">
              <w:r w:rsidR="00000000" w:rsidRPr="00381432">
                <w:rPr>
                  <w:rStyle w:val="Hyperlink"/>
                </w:rPr>
                <w:t>45 CFR 1321.27(d)</w:t>
              </w:r>
            </w:hyperlink>
            <w:r w:rsidR="00000000">
              <w:t xml:space="preserve">: </w:t>
            </w:r>
            <w:r w:rsidR="00000000" w:rsidRPr="00D71983">
              <w:rPr>
                <w:b/>
                <w:bCs/>
              </w:rPr>
              <w:t>A description of how greatest economic need and greatest social need are determined and addressed</w:t>
            </w:r>
            <w:r w:rsidR="00E54483" w:rsidRPr="00D71983">
              <w:rPr>
                <w:b/>
                <w:bCs/>
              </w:rPr>
              <w:t xml:space="preserve">.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D8E2E" w14:textId="643ACF9B" w:rsidR="00991216" w:rsidRDefault="005723EB">
            <w:pPr>
              <w:spacing w:after="0" w:line="240" w:lineRule="auto"/>
            </w:pPr>
            <w:r>
              <w:t xml:space="preserve">In partnership with the </w:t>
            </w:r>
            <w:r w:rsidR="003F329D">
              <w:t>Washington Association of Area Agencies on Aging (W4A)</w:t>
            </w:r>
            <w:r>
              <w:t xml:space="preserve">, HCLA </w:t>
            </w:r>
            <w:r w:rsidR="00E54483">
              <w:t xml:space="preserve">has </w:t>
            </w:r>
            <w:r>
              <w:t xml:space="preserve">collaboratively </w:t>
            </w:r>
            <w:r w:rsidR="00E54483">
              <w:t>updated its definition</w:t>
            </w:r>
            <w:r>
              <w:t>s</w:t>
            </w:r>
            <w:r w:rsidR="00E54483">
              <w:t xml:space="preserve"> of greatest economic need and greatest social need. </w:t>
            </w:r>
            <w:r w:rsidR="009F3EE0">
              <w:t>Th</w:t>
            </w:r>
            <w:r w:rsidR="00E3582A">
              <w:t>ese</w:t>
            </w:r>
            <w:r w:rsidR="009F3EE0">
              <w:t xml:space="preserve"> update</w:t>
            </w:r>
            <w:r w:rsidR="00E3582A">
              <w:t>s</w:t>
            </w:r>
            <w:r w:rsidR="009F3EE0">
              <w:t xml:space="preserve"> w</w:t>
            </w:r>
            <w:r w:rsidR="00E3582A">
              <w:t>ere</w:t>
            </w:r>
            <w:r w:rsidR="009F3EE0">
              <w:t xml:space="preserve"> </w:t>
            </w:r>
            <w:r w:rsidR="00E3582A">
              <w:t xml:space="preserve">guided by </w:t>
            </w:r>
            <w:r w:rsidR="009F3EE0">
              <w:t xml:space="preserve">a </w:t>
            </w:r>
            <w:r w:rsidR="00E3582A">
              <w:t>HCLA/AAA</w:t>
            </w:r>
            <w:r w:rsidR="009F3EE0">
              <w:t xml:space="preserve"> </w:t>
            </w:r>
            <w:r w:rsidR="00E54483">
              <w:t xml:space="preserve">workgroup </w:t>
            </w:r>
            <w:r w:rsidR="009F3EE0">
              <w:t xml:space="preserve">which </w:t>
            </w:r>
            <w:r w:rsidR="00E54483">
              <w:t xml:space="preserve">reviewed current policy and regulations </w:t>
            </w:r>
            <w:r w:rsidR="00887014">
              <w:t>relating to Area Plans</w:t>
            </w:r>
            <w:r w:rsidR="007C0123">
              <w:t>.</w:t>
            </w:r>
            <w:r w:rsidR="00887014">
              <w:t xml:space="preserve"> </w:t>
            </w:r>
            <w:r w:rsidR="00E54483">
              <w:t xml:space="preserve">This workgroup </w:t>
            </w:r>
            <w:r w:rsidR="007C0123">
              <w:t xml:space="preserve">met </w:t>
            </w:r>
            <w:r w:rsidR="007C0123">
              <w:t>over the course of a series of meetings</w:t>
            </w:r>
            <w:r w:rsidR="007C0123">
              <w:t xml:space="preserve"> and </w:t>
            </w:r>
            <w:r w:rsidR="00E54483">
              <w:t xml:space="preserve">agreed </w:t>
            </w:r>
            <w:r w:rsidR="00CF3658">
              <w:t>to</w:t>
            </w:r>
            <w:r w:rsidR="00E54483">
              <w:t xml:space="preserve"> the following definitions for the purposes of prioritizing local services under the OAA:</w:t>
            </w:r>
          </w:p>
          <w:p w14:paraId="650D8E2F" w14:textId="1800070A" w:rsidR="00991216" w:rsidRDefault="00000000">
            <w:pPr>
              <w:pStyle w:val="ListParagraph"/>
              <w:numPr>
                <w:ilvl w:val="0"/>
                <w:numId w:val="2"/>
              </w:numPr>
              <w:spacing w:after="0" w:line="240" w:lineRule="auto"/>
            </w:pPr>
            <w:r w:rsidRPr="004542D2">
              <w:rPr>
                <w:i/>
                <w:iCs/>
              </w:rPr>
              <w:t>Greatest Economic Need</w:t>
            </w:r>
            <w:r>
              <w:t xml:space="preserve">: defined in accordance with </w:t>
            </w:r>
            <w:hyperlink r:id="rId10" w:anchor="p-1321.3(Greatest%20economic%20need)" w:history="1">
              <w:r w:rsidR="00991216">
                <w:rPr>
                  <w:rStyle w:val="Hyperlink"/>
                </w:rPr>
                <w:t>45 CFR 1321.3</w:t>
              </w:r>
            </w:hyperlink>
            <w:r>
              <w:t xml:space="preserve">. AAAs may further define in their Area Plan a local definition tied to a percentage of the Federal Poverty Level (FPL) </w:t>
            </w:r>
            <w:r w:rsidR="00497EF1">
              <w:t>of no</w:t>
            </w:r>
            <w:r>
              <w:t xml:space="preserve"> less than 100%. If the AAA is using a percentage of FPL greater than 100%, the Area Plan must describe the factors considered in the local definition of Greatest Economic Need, which may include but is not limited to geography, rural nature of service area, local cost of living factors such as housing, access to health care, or </w:t>
            </w:r>
            <w:r>
              <w:lastRenderedPageBreak/>
              <w:t>consideration of local population demographic data corresponding to the population factors specific to the current HCLA funding formula.</w:t>
            </w:r>
            <w:r>
              <w:rPr>
                <w:rFonts w:ascii="Arial" w:hAnsi="Arial" w:cs="Arial"/>
              </w:rPr>
              <w:t>  </w:t>
            </w:r>
            <w:r>
              <w:t> </w:t>
            </w:r>
          </w:p>
          <w:p w14:paraId="650D8E30" w14:textId="2B82BF29" w:rsidR="00991216" w:rsidRDefault="00000000">
            <w:pPr>
              <w:pStyle w:val="ListParagraph"/>
              <w:numPr>
                <w:ilvl w:val="0"/>
                <w:numId w:val="2"/>
              </w:numPr>
              <w:spacing w:after="0" w:line="240" w:lineRule="auto"/>
            </w:pPr>
            <w:r w:rsidRPr="004542D2">
              <w:rPr>
                <w:i/>
                <w:iCs/>
              </w:rPr>
              <w:t>Greatest Social Need</w:t>
            </w:r>
            <w:r>
              <w:t xml:space="preserve">: defined in accordance with </w:t>
            </w:r>
            <w:hyperlink r:id="rId11" w:anchor="p-1321.3(Greatest%20social%20need)" w:history="1">
              <w:r w:rsidR="00991216">
                <w:rPr>
                  <w:rStyle w:val="Hyperlink"/>
                </w:rPr>
                <w:t>45 CFR</w:t>
              </w:r>
              <w:bookmarkStart w:id="0" w:name="_Hlt197521664"/>
              <w:bookmarkStart w:id="1" w:name="_Hlt197521665"/>
              <w:r w:rsidR="00991216">
                <w:rPr>
                  <w:rStyle w:val="Hyperlink"/>
                </w:rPr>
                <w:t xml:space="preserve"> </w:t>
              </w:r>
              <w:bookmarkEnd w:id="0"/>
              <w:bookmarkEnd w:id="1"/>
              <w:r w:rsidR="00991216">
                <w:rPr>
                  <w:rStyle w:val="Hyperlink"/>
                </w:rPr>
                <w:t>1321.3</w:t>
              </w:r>
            </w:hyperlink>
            <w:r>
              <w:t>. The Area Plan must describe the factors considered in the local definition of Greatest Social Need, which may include but is not limited to:</w:t>
            </w:r>
            <w:r>
              <w:rPr>
                <w:rFonts w:ascii="Arial" w:hAnsi="Arial" w:cs="Arial"/>
              </w:rPr>
              <w:t> </w:t>
            </w:r>
            <w:r>
              <w:t> </w:t>
            </w:r>
          </w:p>
          <w:p w14:paraId="650D8E31" w14:textId="77777777" w:rsidR="00991216" w:rsidRDefault="00000000">
            <w:pPr>
              <w:spacing w:after="0" w:line="240" w:lineRule="auto"/>
            </w:pPr>
            <w:r>
              <w:t> </w:t>
            </w:r>
          </w:p>
          <w:p w14:paraId="650D8E32" w14:textId="77777777" w:rsidR="00991216" w:rsidRDefault="00000000">
            <w:pPr>
              <w:numPr>
                <w:ilvl w:val="0"/>
                <w:numId w:val="3"/>
              </w:numPr>
              <w:tabs>
                <w:tab w:val="left" w:pos="1240"/>
              </w:tabs>
              <w:spacing w:after="0" w:line="240" w:lineRule="auto"/>
              <w:ind w:left="1060"/>
            </w:pPr>
            <w:r>
              <w:t>Local natural and built environment; including communication technology infrastructure;</w:t>
            </w:r>
            <w:r>
              <w:rPr>
                <w:rFonts w:ascii="Arial" w:hAnsi="Arial" w:cs="Arial"/>
              </w:rPr>
              <w:t> </w:t>
            </w:r>
            <w:r>
              <w:t> </w:t>
            </w:r>
          </w:p>
          <w:p w14:paraId="650D8E33" w14:textId="77777777" w:rsidR="00991216" w:rsidRDefault="00000000">
            <w:pPr>
              <w:numPr>
                <w:ilvl w:val="0"/>
                <w:numId w:val="4"/>
              </w:numPr>
              <w:tabs>
                <w:tab w:val="left" w:pos="1240"/>
              </w:tabs>
              <w:spacing w:after="0" w:line="240" w:lineRule="auto"/>
              <w:ind w:left="1060"/>
            </w:pPr>
            <w:r>
              <w:t>Access to health care;</w:t>
            </w:r>
            <w:r>
              <w:rPr>
                <w:rFonts w:ascii="Arial" w:hAnsi="Arial" w:cs="Arial"/>
              </w:rPr>
              <w:t> </w:t>
            </w:r>
            <w:r>
              <w:t> </w:t>
            </w:r>
          </w:p>
          <w:p w14:paraId="650D8E34" w14:textId="77777777" w:rsidR="00991216" w:rsidRDefault="00000000">
            <w:pPr>
              <w:numPr>
                <w:ilvl w:val="0"/>
                <w:numId w:val="5"/>
              </w:numPr>
              <w:tabs>
                <w:tab w:val="left" w:pos="1240"/>
              </w:tabs>
              <w:spacing w:after="0" w:line="240" w:lineRule="auto"/>
              <w:ind w:left="1060"/>
            </w:pPr>
            <w:r>
              <w:t>Impacts due to emergencies, natural disasters, and/or pandemic conditions; or</w:t>
            </w:r>
            <w:r>
              <w:rPr>
                <w:rFonts w:ascii="Arial" w:hAnsi="Arial" w:cs="Arial"/>
              </w:rPr>
              <w:t> </w:t>
            </w:r>
            <w:r>
              <w:t> </w:t>
            </w:r>
          </w:p>
          <w:p w14:paraId="650D8E36" w14:textId="026E9CE3" w:rsidR="00991216" w:rsidRDefault="00000000" w:rsidP="00EA05C5">
            <w:pPr>
              <w:numPr>
                <w:ilvl w:val="0"/>
                <w:numId w:val="6"/>
              </w:numPr>
              <w:tabs>
                <w:tab w:val="left" w:pos="1240"/>
              </w:tabs>
              <w:spacing w:after="0" w:line="240" w:lineRule="auto"/>
              <w:ind w:left="1060"/>
            </w:pPr>
            <w:r>
              <w:t>Social need reflective of family caregiver status.</w:t>
            </w:r>
            <w:r>
              <w:rPr>
                <w:rFonts w:ascii="Arial" w:hAnsi="Arial" w:cs="Arial"/>
              </w:rPr>
              <w:t> </w:t>
            </w:r>
            <w:r>
              <w:t> </w:t>
            </w:r>
          </w:p>
        </w:tc>
      </w:tr>
      <w:tr w:rsidR="00991216" w14:paraId="650D8E4B" w14:textId="77777777">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D8E38" w14:textId="4CF28229" w:rsidR="00991216" w:rsidRDefault="00F60406" w:rsidP="00D71983">
            <w:pPr>
              <w:tabs>
                <w:tab w:val="center" w:pos="1589"/>
              </w:tabs>
              <w:spacing w:after="0" w:line="240" w:lineRule="auto"/>
              <w:ind w:left="337" w:hanging="270"/>
            </w:pPr>
            <w:r>
              <w:lastRenderedPageBreak/>
              <w:t>3</w:t>
            </w:r>
            <w:r w:rsidR="00000000">
              <w:t xml:space="preserve">. </w:t>
            </w:r>
            <w:hyperlink r:id="rId12" w:anchor="p-1321.87(a)(1)" w:history="1">
              <w:r w:rsidR="00000000" w:rsidRPr="002E4BB6">
                <w:rPr>
                  <w:rStyle w:val="Hyperlink"/>
                </w:rPr>
                <w:t>45 CFR 1321.87(a)(1</w:t>
              </w:r>
            </w:hyperlink>
            <w:r w:rsidR="00000000">
              <w:t xml:space="preserve">), </w:t>
            </w:r>
            <w:hyperlink r:id="rId13" w:anchor="p-1321.27(j)" w:history="1">
              <w:r w:rsidR="00000000" w:rsidRPr="005E28CA">
                <w:rPr>
                  <w:rStyle w:val="Hyperlink"/>
                </w:rPr>
                <w:t>1321.27(j)</w:t>
              </w:r>
            </w:hyperlink>
            <w:r w:rsidR="00000000">
              <w:t xml:space="preserve">: </w:t>
            </w:r>
            <w:r w:rsidR="00000000" w:rsidRPr="00E54483">
              <w:rPr>
                <w:b/>
                <w:bCs/>
              </w:rPr>
              <w:t>Address</w:t>
            </w:r>
            <w:r w:rsidR="00E54483" w:rsidRPr="00E54483">
              <w:rPr>
                <w:b/>
                <w:bCs/>
              </w:rPr>
              <w:t xml:space="preserve"> </w:t>
            </w:r>
            <w:r w:rsidR="00000000" w:rsidRPr="00E54483">
              <w:rPr>
                <w:b/>
                <w:bCs/>
              </w:rPr>
              <w:t xml:space="preserve">how shelf-stable, pick-up, carry-out, drive-through, or similar meals may be provided under Title III, part C-1.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D8E39" w14:textId="3EFFFB18" w:rsidR="00991216" w:rsidRDefault="00000000">
            <w:pPr>
              <w:spacing w:after="0" w:line="240" w:lineRule="auto"/>
            </w:pPr>
            <w:r>
              <w:t xml:space="preserve">HCLA will amend </w:t>
            </w:r>
            <w:r w:rsidR="00366A1C">
              <w:t xml:space="preserve">state </w:t>
            </w:r>
            <w:r>
              <w:t xml:space="preserve">program guidance and policy to allow for the provision of shelf-stable, pick-up, carry-out, drive-through, or similar meals using no more </w:t>
            </w:r>
            <w:r w:rsidR="00497EF1">
              <w:t>than</w:t>
            </w:r>
            <w:r>
              <w:t xml:space="preserve"> 25% of Congregate Meal service funding under the OAA. </w:t>
            </w:r>
          </w:p>
          <w:p w14:paraId="650D8E3A" w14:textId="790550DB" w:rsidR="00991216" w:rsidRDefault="00000000">
            <w:pPr>
              <w:spacing w:after="0" w:line="240" w:lineRule="auto"/>
            </w:pPr>
            <w:r>
              <w:t xml:space="preserve">Meals provided as set forth in </w:t>
            </w:r>
            <w:hyperlink r:id="rId14" w:anchor="p-1321.87(a)(1)(i)" w:history="1">
              <w:r w:rsidR="00991216">
                <w:rPr>
                  <w:rStyle w:val="Hyperlink"/>
                </w:rPr>
                <w:t>paragraph (a)(1)(i)</w:t>
              </w:r>
            </w:hyperlink>
            <w:r>
              <w:t xml:space="preserve"> </w:t>
            </w:r>
            <w:r w:rsidR="00F60406">
              <w:t>under Congregate Meal Services</w:t>
            </w:r>
            <w:r>
              <w:t xml:space="preserve"> may be provided to complement the congregate meal program:</w:t>
            </w:r>
          </w:p>
          <w:p w14:paraId="650D8E3B" w14:textId="77777777" w:rsidR="00991216" w:rsidRDefault="00000000">
            <w:pPr>
              <w:spacing w:after="0" w:line="240" w:lineRule="auto"/>
              <w:ind w:left="1060" w:hanging="360"/>
            </w:pPr>
            <w:r>
              <w:t>(A) During disaster or emergency situations affecting the provision of nutrition services;</w:t>
            </w:r>
          </w:p>
          <w:p w14:paraId="650D8E3C" w14:textId="77777777" w:rsidR="00991216" w:rsidRDefault="00000000">
            <w:pPr>
              <w:spacing w:after="0" w:line="240" w:lineRule="auto"/>
              <w:ind w:left="1060" w:hanging="360"/>
            </w:pPr>
            <w:r>
              <w:t>(B) To older individuals who have an occasional need for such meal; and/or</w:t>
            </w:r>
          </w:p>
          <w:p w14:paraId="650D8E3D" w14:textId="77777777" w:rsidR="00991216" w:rsidRDefault="00000000">
            <w:pPr>
              <w:spacing w:after="0" w:line="240" w:lineRule="auto"/>
              <w:ind w:left="1060" w:hanging="360"/>
            </w:pPr>
            <w:r>
              <w:t>(C) To older individuals who have a regular need for such meal, based on an individualized assessment, when targeting services to those in greatest economic need and greatest social need.</w:t>
            </w:r>
          </w:p>
          <w:p w14:paraId="27C66A89" w14:textId="77777777" w:rsidR="00BE3AFD" w:rsidRDefault="00BE3AFD" w:rsidP="00BE3AFD">
            <w:pPr>
              <w:spacing w:after="0" w:line="240" w:lineRule="auto"/>
            </w:pPr>
          </w:p>
          <w:p w14:paraId="650D8E3E" w14:textId="0F8FF439" w:rsidR="00991216" w:rsidRDefault="006F1C84" w:rsidP="00366A1C">
            <w:pPr>
              <w:spacing w:after="0" w:line="240" w:lineRule="auto"/>
            </w:pPr>
            <w:r>
              <w:t>In accordance with</w:t>
            </w:r>
            <w:r w:rsidR="00ED0182">
              <w:t xml:space="preserve"> </w:t>
            </w:r>
            <w:hyperlink r:id="rId15" w:anchor="p-1321.27(j)" w:history="1">
              <w:r w:rsidR="00ED0182" w:rsidRPr="001178B2">
                <w:rPr>
                  <w:rStyle w:val="Hyperlink"/>
                </w:rPr>
                <w:t>45 CFR 1321.27(j)</w:t>
              </w:r>
            </w:hyperlink>
            <w:r w:rsidR="00ED0182">
              <w:t>, HCLA</w:t>
            </w:r>
            <w:r w:rsidR="008B16A9">
              <w:t xml:space="preserve"> </w:t>
            </w:r>
            <w:r>
              <w:t>addresses</w:t>
            </w:r>
            <w:r w:rsidR="008B16A9">
              <w:t xml:space="preserve"> the f</w:t>
            </w:r>
            <w:r>
              <w:t>ollowing five areas:</w:t>
            </w:r>
          </w:p>
          <w:p w14:paraId="1B91A2C2" w14:textId="77777777" w:rsidR="00366A1C" w:rsidRDefault="00366A1C" w:rsidP="00366A1C">
            <w:pPr>
              <w:spacing w:after="0" w:line="240" w:lineRule="auto"/>
            </w:pPr>
          </w:p>
          <w:p w14:paraId="650D8E3F" w14:textId="23B8FA34" w:rsidR="00991216" w:rsidRPr="00117941" w:rsidRDefault="00000000" w:rsidP="00336421">
            <w:pPr>
              <w:spacing w:line="240" w:lineRule="auto"/>
              <w:rPr>
                <w:i/>
                <w:iCs/>
              </w:rPr>
            </w:pPr>
            <w:r w:rsidRPr="00117941">
              <w:rPr>
                <w:i/>
                <w:iCs/>
              </w:rPr>
              <w:t>(1) Evidence, using participation projections based on existing data, that provision of such meals will enhance and not diminish the congregate meals program, and a commitment to monitor the impact on congregate meals program participation</w:t>
            </w:r>
            <w:r w:rsidR="00D05256">
              <w:rPr>
                <w:i/>
                <w:iCs/>
              </w:rPr>
              <w:t>:</w:t>
            </w:r>
          </w:p>
          <w:p w14:paraId="650D8E40" w14:textId="67EE933D" w:rsidR="00991216" w:rsidRPr="00DE165A" w:rsidRDefault="00277084">
            <w:pPr>
              <w:spacing w:after="0" w:line="240" w:lineRule="auto"/>
              <w:rPr>
                <w:color w:val="000000" w:themeColor="text1"/>
              </w:rPr>
            </w:pPr>
            <w:r w:rsidRPr="00DE165A">
              <w:rPr>
                <w:color w:val="000000" w:themeColor="text1"/>
              </w:rPr>
              <w:t xml:space="preserve">Since 2020, OAA Nutrition Programs in Washington </w:t>
            </w:r>
            <w:r w:rsidR="00117941" w:rsidRPr="00DE165A">
              <w:rPr>
                <w:color w:val="000000" w:themeColor="text1"/>
              </w:rPr>
              <w:t>s</w:t>
            </w:r>
            <w:r w:rsidRPr="00DE165A">
              <w:rPr>
                <w:color w:val="000000" w:themeColor="text1"/>
              </w:rPr>
              <w:t>tate</w:t>
            </w:r>
            <w:r w:rsidR="007E697D" w:rsidRPr="00DE165A">
              <w:rPr>
                <w:color w:val="000000" w:themeColor="text1"/>
              </w:rPr>
              <w:t xml:space="preserve"> have served </w:t>
            </w:r>
            <w:r w:rsidR="00743C92" w:rsidRPr="00DE165A">
              <w:rPr>
                <w:color w:val="000000" w:themeColor="text1"/>
              </w:rPr>
              <w:t>an average of 5</w:t>
            </w:r>
            <w:r w:rsidR="000C7609" w:rsidRPr="00DE165A">
              <w:rPr>
                <w:color w:val="000000" w:themeColor="text1"/>
              </w:rPr>
              <w:t>3,911</w:t>
            </w:r>
            <w:r w:rsidR="008968B4" w:rsidRPr="00DE165A">
              <w:rPr>
                <w:color w:val="000000" w:themeColor="text1"/>
              </w:rPr>
              <w:t xml:space="preserve"> individuals and </w:t>
            </w:r>
            <w:r w:rsidR="008968B4" w:rsidRPr="00DE165A">
              <w:rPr>
                <w:color w:val="000000" w:themeColor="text1"/>
              </w:rPr>
              <w:lastRenderedPageBreak/>
              <w:t>3,672,161 meals per year.</w:t>
            </w:r>
            <w:r w:rsidR="0050244F" w:rsidRPr="00DE165A">
              <w:rPr>
                <w:color w:val="000000" w:themeColor="text1"/>
              </w:rPr>
              <w:t xml:space="preserve"> </w:t>
            </w:r>
            <w:r w:rsidR="0076431C" w:rsidRPr="00DE165A">
              <w:rPr>
                <w:color w:val="000000" w:themeColor="text1"/>
              </w:rPr>
              <w:t>While t</w:t>
            </w:r>
            <w:r w:rsidR="002A50E0" w:rsidRPr="00DE165A">
              <w:rPr>
                <w:color w:val="000000" w:themeColor="text1"/>
              </w:rPr>
              <w:t>h</w:t>
            </w:r>
            <w:r w:rsidR="00A44DEC" w:rsidRPr="00DE165A">
              <w:rPr>
                <w:color w:val="000000" w:themeColor="text1"/>
              </w:rPr>
              <w:t>ese averages near</w:t>
            </w:r>
            <w:r w:rsidR="002A50E0" w:rsidRPr="00DE165A">
              <w:rPr>
                <w:color w:val="000000" w:themeColor="text1"/>
              </w:rPr>
              <w:t xml:space="preserve"> pre-pandemic </w:t>
            </w:r>
            <w:r w:rsidR="0084097B" w:rsidRPr="00DE165A">
              <w:rPr>
                <w:color w:val="000000" w:themeColor="text1"/>
              </w:rPr>
              <w:t xml:space="preserve">participation levels, </w:t>
            </w:r>
            <w:r w:rsidR="00106A7B" w:rsidRPr="00DE165A">
              <w:rPr>
                <w:color w:val="000000" w:themeColor="text1"/>
              </w:rPr>
              <w:t>programs have</w:t>
            </w:r>
            <w:r w:rsidR="0076431C" w:rsidRPr="00DE165A">
              <w:rPr>
                <w:color w:val="000000" w:themeColor="text1"/>
              </w:rPr>
              <w:t xml:space="preserve"> </w:t>
            </w:r>
            <w:r w:rsidR="00A44DEC" w:rsidRPr="00DE165A">
              <w:rPr>
                <w:color w:val="000000" w:themeColor="text1"/>
              </w:rPr>
              <w:t>increased</w:t>
            </w:r>
            <w:r w:rsidR="00D05256">
              <w:rPr>
                <w:color w:val="000000" w:themeColor="text1"/>
              </w:rPr>
              <w:t xml:space="preserve"> the volume of meals served</w:t>
            </w:r>
            <w:r w:rsidR="00A44DEC" w:rsidRPr="00DE165A">
              <w:rPr>
                <w:color w:val="000000" w:themeColor="text1"/>
              </w:rPr>
              <w:t xml:space="preserve"> </w:t>
            </w:r>
            <w:r w:rsidR="00D05256" w:rsidRPr="00DE165A">
              <w:rPr>
                <w:color w:val="000000" w:themeColor="text1"/>
              </w:rPr>
              <w:t xml:space="preserve">by 16% </w:t>
            </w:r>
            <w:r w:rsidR="00A44DEC" w:rsidRPr="00DE165A">
              <w:rPr>
                <w:color w:val="000000" w:themeColor="text1"/>
              </w:rPr>
              <w:t>on average</w:t>
            </w:r>
            <w:r w:rsidR="00737920" w:rsidRPr="00DE165A">
              <w:rPr>
                <w:color w:val="000000" w:themeColor="text1"/>
              </w:rPr>
              <w:t xml:space="preserve"> </w:t>
            </w:r>
            <w:r w:rsidR="00A44DEC" w:rsidRPr="00DE165A">
              <w:rPr>
                <w:color w:val="000000" w:themeColor="text1"/>
              </w:rPr>
              <w:t xml:space="preserve">compared to 2019. </w:t>
            </w:r>
            <w:r w:rsidR="001848DB" w:rsidRPr="00DE165A">
              <w:rPr>
                <w:color w:val="000000" w:themeColor="text1"/>
              </w:rPr>
              <w:t xml:space="preserve">Throughout this period, programs </w:t>
            </w:r>
            <w:r w:rsidR="00A44DEC" w:rsidRPr="00DE165A">
              <w:rPr>
                <w:color w:val="000000" w:themeColor="text1"/>
              </w:rPr>
              <w:t xml:space="preserve">have </w:t>
            </w:r>
            <w:r w:rsidR="001848DB" w:rsidRPr="00DE165A">
              <w:rPr>
                <w:color w:val="000000" w:themeColor="text1"/>
              </w:rPr>
              <w:t xml:space="preserve">adapted to rapidly </w:t>
            </w:r>
            <w:r w:rsidR="001F7235">
              <w:rPr>
                <w:color w:val="000000" w:themeColor="text1"/>
              </w:rPr>
              <w:t>changing</w:t>
            </w:r>
            <w:r w:rsidR="001848DB" w:rsidRPr="00DE165A">
              <w:rPr>
                <w:color w:val="000000" w:themeColor="text1"/>
              </w:rPr>
              <w:t xml:space="preserve"> service needs. One adaptation was </w:t>
            </w:r>
            <w:r w:rsidR="005F634C" w:rsidRPr="00DE165A">
              <w:rPr>
                <w:color w:val="000000" w:themeColor="text1"/>
              </w:rPr>
              <w:t>to start providing</w:t>
            </w:r>
            <w:r w:rsidR="001848DB" w:rsidRPr="00DE165A">
              <w:rPr>
                <w:color w:val="000000" w:themeColor="text1"/>
              </w:rPr>
              <w:t xml:space="preserve"> grab &amp; go or “take-out” meals as a part of OAA nutrition services.</w:t>
            </w:r>
            <w:r w:rsidR="002A50E0" w:rsidRPr="00DE165A">
              <w:rPr>
                <w:color w:val="000000" w:themeColor="text1"/>
              </w:rPr>
              <w:t xml:space="preserve"> </w:t>
            </w:r>
            <w:r w:rsidR="001F7235">
              <w:rPr>
                <w:color w:val="000000" w:themeColor="text1"/>
              </w:rPr>
              <w:t xml:space="preserve">This alternative model has allowed some local programs to better meet the </w:t>
            </w:r>
            <w:r w:rsidR="003E4306">
              <w:rPr>
                <w:color w:val="000000" w:themeColor="text1"/>
              </w:rPr>
              <w:t xml:space="preserve">changing </w:t>
            </w:r>
            <w:r w:rsidR="001F7235">
              <w:rPr>
                <w:color w:val="000000" w:themeColor="text1"/>
              </w:rPr>
              <w:t xml:space="preserve">needs of </w:t>
            </w:r>
            <w:r w:rsidR="003E4306">
              <w:rPr>
                <w:color w:val="000000" w:themeColor="text1"/>
              </w:rPr>
              <w:t xml:space="preserve">our growing population of older adults. </w:t>
            </w:r>
          </w:p>
          <w:p w14:paraId="1059E361" w14:textId="77777777" w:rsidR="00771698" w:rsidRPr="00DE165A" w:rsidRDefault="00771698">
            <w:pPr>
              <w:spacing w:after="0" w:line="240" w:lineRule="auto"/>
              <w:rPr>
                <w:color w:val="000000" w:themeColor="text1"/>
              </w:rPr>
            </w:pPr>
          </w:p>
          <w:p w14:paraId="103338BE" w14:textId="13724FC5" w:rsidR="00771698" w:rsidRPr="00DE165A" w:rsidRDefault="001353C6">
            <w:pPr>
              <w:spacing w:after="0" w:line="240" w:lineRule="auto"/>
              <w:rPr>
                <w:color w:val="000000" w:themeColor="text1"/>
              </w:rPr>
            </w:pPr>
            <w:r>
              <w:rPr>
                <w:color w:val="000000" w:themeColor="text1"/>
              </w:rPr>
              <w:t>Under the OAA, n</w:t>
            </w:r>
            <w:r w:rsidR="00771698" w:rsidRPr="00DE165A">
              <w:rPr>
                <w:color w:val="000000" w:themeColor="text1"/>
              </w:rPr>
              <w:t xml:space="preserve">utrition programs are </w:t>
            </w:r>
            <w:r w:rsidR="00B178EE">
              <w:rPr>
                <w:color w:val="000000" w:themeColor="text1"/>
              </w:rPr>
              <w:t xml:space="preserve">also </w:t>
            </w:r>
            <w:r w:rsidR="00771698" w:rsidRPr="00DE165A">
              <w:rPr>
                <w:color w:val="000000" w:themeColor="text1"/>
              </w:rPr>
              <w:t xml:space="preserve">required to assess participants for nutritional risk. </w:t>
            </w:r>
            <w:r w:rsidR="00F77BB3" w:rsidRPr="00DE165A">
              <w:rPr>
                <w:color w:val="000000" w:themeColor="text1"/>
              </w:rPr>
              <w:t>The percentage of individuals served at high nutritional risk</w:t>
            </w:r>
            <w:r w:rsidR="00DC67E1">
              <w:rPr>
                <w:color w:val="000000" w:themeColor="text1"/>
              </w:rPr>
              <w:t xml:space="preserve"> </w:t>
            </w:r>
            <w:r w:rsidR="00B178EE">
              <w:rPr>
                <w:color w:val="000000" w:themeColor="text1"/>
              </w:rPr>
              <w:t>under</w:t>
            </w:r>
            <w:r w:rsidR="00DC67E1">
              <w:rPr>
                <w:color w:val="000000" w:themeColor="text1"/>
              </w:rPr>
              <w:t xml:space="preserve"> OAA nutrition programs</w:t>
            </w:r>
            <w:r w:rsidR="00F77BB3" w:rsidRPr="00DE165A">
              <w:rPr>
                <w:color w:val="000000" w:themeColor="text1"/>
              </w:rPr>
              <w:t xml:space="preserve"> has increased </w:t>
            </w:r>
            <w:r>
              <w:rPr>
                <w:color w:val="000000" w:themeColor="text1"/>
              </w:rPr>
              <w:t>from</w:t>
            </w:r>
            <w:r w:rsidR="00F77BB3" w:rsidRPr="00DE165A">
              <w:rPr>
                <w:color w:val="000000" w:themeColor="text1"/>
              </w:rPr>
              <w:t xml:space="preserve"> 18% </w:t>
            </w:r>
            <w:r>
              <w:rPr>
                <w:color w:val="000000" w:themeColor="text1"/>
              </w:rPr>
              <w:t>in</w:t>
            </w:r>
            <w:r w:rsidR="00F77BB3" w:rsidRPr="00DE165A">
              <w:rPr>
                <w:color w:val="000000" w:themeColor="text1"/>
              </w:rPr>
              <w:t xml:space="preserve"> 2019 to 25% in 2024. </w:t>
            </w:r>
            <w:r w:rsidR="009C6710" w:rsidRPr="00DE165A">
              <w:rPr>
                <w:color w:val="000000" w:themeColor="text1"/>
              </w:rPr>
              <w:t>Participation</w:t>
            </w:r>
            <w:r w:rsidR="00712A3F" w:rsidRPr="00DE165A">
              <w:rPr>
                <w:color w:val="000000" w:themeColor="text1"/>
              </w:rPr>
              <w:t xml:space="preserve"> in congregate meal services has </w:t>
            </w:r>
            <w:r>
              <w:rPr>
                <w:color w:val="000000" w:themeColor="text1"/>
              </w:rPr>
              <w:t xml:space="preserve">also </w:t>
            </w:r>
            <w:r w:rsidR="00712A3F" w:rsidRPr="00DE165A">
              <w:rPr>
                <w:color w:val="000000" w:themeColor="text1"/>
              </w:rPr>
              <w:t xml:space="preserve">steadily increased </w:t>
            </w:r>
            <w:r w:rsidR="00DC67E1">
              <w:rPr>
                <w:color w:val="000000" w:themeColor="text1"/>
              </w:rPr>
              <w:t xml:space="preserve">from </w:t>
            </w:r>
            <w:r w:rsidR="00214C17">
              <w:rPr>
                <w:color w:val="000000" w:themeColor="text1"/>
              </w:rPr>
              <w:t>its low point during</w:t>
            </w:r>
            <w:r w:rsidR="00DC67E1">
              <w:rPr>
                <w:color w:val="000000" w:themeColor="text1"/>
              </w:rPr>
              <w:t xml:space="preserve"> </w:t>
            </w:r>
            <w:r w:rsidR="00712A3F" w:rsidRPr="00DE165A">
              <w:rPr>
                <w:color w:val="000000" w:themeColor="text1"/>
              </w:rPr>
              <w:t>COVID-related closures</w:t>
            </w:r>
            <w:r w:rsidR="00D05256">
              <w:rPr>
                <w:color w:val="000000" w:themeColor="text1"/>
              </w:rPr>
              <w:t>.</w:t>
            </w:r>
          </w:p>
          <w:p w14:paraId="650D8E41" w14:textId="77777777" w:rsidR="00991216" w:rsidRDefault="00991216">
            <w:pPr>
              <w:spacing w:after="0" w:line="240" w:lineRule="auto"/>
            </w:pPr>
          </w:p>
          <w:p w14:paraId="0F66E93B" w14:textId="56338082" w:rsidR="001353C6" w:rsidRDefault="001353C6">
            <w:pPr>
              <w:spacing w:after="0" w:line="240" w:lineRule="auto"/>
            </w:pPr>
            <w:r>
              <w:t xml:space="preserve">Considering </w:t>
            </w:r>
            <w:r w:rsidR="00214C17">
              <w:t>t</w:t>
            </w:r>
            <w:r w:rsidR="00B178EE">
              <w:t>hese factors, HCLA will add</w:t>
            </w:r>
            <w:r w:rsidR="001B7455">
              <w:t xml:space="preserve"> the provision of grab &amp; go type meals under Title III part C-1 (Congregate) to continue </w:t>
            </w:r>
            <w:r w:rsidR="000A0F2A">
              <w:t>promot</w:t>
            </w:r>
            <w:r w:rsidR="0079103C">
              <w:t>ing</w:t>
            </w:r>
            <w:r w:rsidR="000A0F2A">
              <w:t xml:space="preserve"> flexibility for local service </w:t>
            </w:r>
            <w:r w:rsidR="00BE0243">
              <w:t>needs</w:t>
            </w:r>
            <w:r w:rsidR="000A0F2A">
              <w:t xml:space="preserve">, and to </w:t>
            </w:r>
            <w:r w:rsidR="0079103C">
              <w:t xml:space="preserve">improve food security for older Washingtonians. The SUA will monitor service levels annually through its existing data evaluation process to assess impacts. </w:t>
            </w:r>
          </w:p>
          <w:p w14:paraId="630DF0E6" w14:textId="77777777" w:rsidR="0079103C" w:rsidRDefault="0079103C">
            <w:pPr>
              <w:spacing w:after="0" w:line="240" w:lineRule="auto"/>
            </w:pPr>
          </w:p>
          <w:p w14:paraId="650D8E42" w14:textId="1DE84B17" w:rsidR="00991216" w:rsidRPr="00701329" w:rsidRDefault="00000000" w:rsidP="00336421">
            <w:pPr>
              <w:spacing w:line="240" w:lineRule="auto"/>
              <w:rPr>
                <w:i/>
                <w:iCs/>
              </w:rPr>
            </w:pPr>
            <w:r>
              <w:t>(</w:t>
            </w:r>
            <w:r w:rsidRPr="00701329">
              <w:rPr>
                <w:i/>
                <w:iCs/>
              </w:rPr>
              <w:t>2) Description of how provision of such meals will be targeted to reach those populations identified as in greatest economic need and greatest social need</w:t>
            </w:r>
            <w:r w:rsidR="00701329">
              <w:rPr>
                <w:i/>
                <w:iCs/>
              </w:rPr>
              <w:t>:</w:t>
            </w:r>
          </w:p>
          <w:p w14:paraId="0A77D74B" w14:textId="77777777" w:rsidR="009A278A" w:rsidRPr="00701329" w:rsidRDefault="00BC0DF8">
            <w:pPr>
              <w:spacing w:after="0" w:line="240" w:lineRule="auto"/>
              <w:rPr>
                <w:color w:val="000000" w:themeColor="text1"/>
              </w:rPr>
            </w:pPr>
            <w:r w:rsidRPr="00701329">
              <w:rPr>
                <w:color w:val="000000" w:themeColor="text1"/>
              </w:rPr>
              <w:t xml:space="preserve">Nutrition Programs must operate under the policy and program guidance set through HCLA, AAAs, and </w:t>
            </w:r>
            <w:r w:rsidR="00DE0647" w:rsidRPr="00701329">
              <w:rPr>
                <w:color w:val="000000" w:themeColor="text1"/>
              </w:rPr>
              <w:t xml:space="preserve">their </w:t>
            </w:r>
            <w:r w:rsidRPr="00701329">
              <w:rPr>
                <w:color w:val="000000" w:themeColor="text1"/>
              </w:rPr>
              <w:t>local agenc</w:t>
            </w:r>
            <w:r w:rsidR="00DE0647" w:rsidRPr="00701329">
              <w:rPr>
                <w:color w:val="000000" w:themeColor="text1"/>
              </w:rPr>
              <w:t xml:space="preserve">ies. HCLA policy </w:t>
            </w:r>
            <w:r w:rsidR="00834AEA" w:rsidRPr="00701329">
              <w:rPr>
                <w:color w:val="000000" w:themeColor="text1"/>
              </w:rPr>
              <w:t xml:space="preserve">requires AAAs to </w:t>
            </w:r>
            <w:r w:rsidR="00777A7E" w:rsidRPr="00701329">
              <w:rPr>
                <w:color w:val="000000" w:themeColor="text1"/>
              </w:rPr>
              <w:t>“engage in a continuous process of planning for older persons within the PSA</w:t>
            </w:r>
            <w:r w:rsidR="00EC358F" w:rsidRPr="00701329">
              <w:rPr>
                <w:color w:val="000000" w:themeColor="text1"/>
              </w:rPr>
              <w:t xml:space="preserve"> [Planning and Service Area]</w:t>
            </w:r>
            <w:r w:rsidR="00777A7E" w:rsidRPr="00701329">
              <w:rPr>
                <w:color w:val="000000" w:themeColor="text1"/>
              </w:rPr>
              <w:t>, including</w:t>
            </w:r>
            <w:r w:rsidR="009A278A" w:rsidRPr="00701329">
              <w:rPr>
                <w:color w:val="000000" w:themeColor="text1"/>
              </w:rPr>
              <w:t xml:space="preserve"> t</w:t>
            </w:r>
            <w:r w:rsidR="00B94487" w:rsidRPr="00701329">
              <w:rPr>
                <w:color w:val="000000" w:themeColor="text1"/>
              </w:rPr>
              <w:t>argeting of services to those older adults, family caregivers, and older Native Americans with the greatest economic need and/or greatest social need in the PSA.</w:t>
            </w:r>
            <w:r w:rsidR="009A278A" w:rsidRPr="00701329">
              <w:rPr>
                <w:color w:val="000000" w:themeColor="text1"/>
              </w:rPr>
              <w:t>”</w:t>
            </w:r>
          </w:p>
          <w:p w14:paraId="1E9AA3DC" w14:textId="77777777" w:rsidR="009A278A" w:rsidRPr="00701329" w:rsidRDefault="009A278A">
            <w:pPr>
              <w:spacing w:after="0" w:line="240" w:lineRule="auto"/>
              <w:rPr>
                <w:color w:val="000000" w:themeColor="text1"/>
              </w:rPr>
            </w:pPr>
          </w:p>
          <w:p w14:paraId="4BDC28A8" w14:textId="7F8C6B7F" w:rsidR="00BC3C01" w:rsidRPr="00701329" w:rsidRDefault="009A278A">
            <w:pPr>
              <w:spacing w:after="0" w:line="240" w:lineRule="auto"/>
              <w:rPr>
                <w:color w:val="000000" w:themeColor="text1"/>
              </w:rPr>
            </w:pPr>
            <w:r w:rsidRPr="00701329">
              <w:rPr>
                <w:color w:val="000000" w:themeColor="text1"/>
              </w:rPr>
              <w:t>Additionally,</w:t>
            </w:r>
            <w:r w:rsidR="00343E4B" w:rsidRPr="00701329">
              <w:rPr>
                <w:color w:val="000000" w:themeColor="text1"/>
              </w:rPr>
              <w:t xml:space="preserve"> Nutrition Program guidance outlines the targeting of services under Congregate Meal Services</w:t>
            </w:r>
            <w:r w:rsidR="00B66292" w:rsidRPr="00701329">
              <w:rPr>
                <w:color w:val="000000" w:themeColor="text1"/>
              </w:rPr>
              <w:t xml:space="preserve"> to align with updated State and Federal definitions for greatest social and economic need. </w:t>
            </w:r>
            <w:r w:rsidRPr="00701329">
              <w:rPr>
                <w:color w:val="000000" w:themeColor="text1"/>
              </w:rPr>
              <w:t xml:space="preserve"> </w:t>
            </w:r>
            <w:r w:rsidR="00B94487" w:rsidRPr="00701329">
              <w:rPr>
                <w:color w:val="000000" w:themeColor="text1"/>
              </w:rPr>
              <w:t xml:space="preserve">  </w:t>
            </w:r>
          </w:p>
          <w:p w14:paraId="61D6FB2A" w14:textId="77777777" w:rsidR="00EC358F" w:rsidRPr="00BC0DF8" w:rsidRDefault="00EC358F">
            <w:pPr>
              <w:spacing w:after="0" w:line="240" w:lineRule="auto"/>
              <w:rPr>
                <w:color w:val="0070C0"/>
              </w:rPr>
            </w:pPr>
          </w:p>
          <w:p w14:paraId="650D8E44" w14:textId="64E4CB13" w:rsidR="00991216" w:rsidRDefault="00000000">
            <w:pPr>
              <w:spacing w:after="0" w:line="240" w:lineRule="auto"/>
              <w:rPr>
                <w:i/>
                <w:iCs/>
              </w:rPr>
            </w:pPr>
            <w:r w:rsidRPr="002E5D2D">
              <w:rPr>
                <w:i/>
                <w:iCs/>
              </w:rPr>
              <w:lastRenderedPageBreak/>
              <w:t>(3) Description of the eligibility criteria for service provision</w:t>
            </w:r>
            <w:r w:rsidR="002E5D2D">
              <w:rPr>
                <w:i/>
                <w:iCs/>
              </w:rPr>
              <w:t>:</w:t>
            </w:r>
          </w:p>
          <w:p w14:paraId="1485EE59" w14:textId="1FB4BCD4" w:rsidR="002E5D2D" w:rsidRPr="002E5D2D" w:rsidRDefault="002E5D2D">
            <w:pPr>
              <w:spacing w:after="0" w:line="240" w:lineRule="auto"/>
            </w:pPr>
            <w:r>
              <w:t xml:space="preserve">The following eligibility criteria are excerpted from the revised </w:t>
            </w:r>
            <w:r w:rsidR="008955F6">
              <w:t xml:space="preserve">state </w:t>
            </w:r>
            <w:r>
              <w:t>Senior Nutrition Program Guidance (2025)</w:t>
            </w:r>
            <w:r w:rsidR="008955F6">
              <w:t>:</w:t>
            </w:r>
          </w:p>
          <w:p w14:paraId="6B99FF55" w14:textId="462742F6" w:rsidR="006E0DB5" w:rsidRPr="002E5D2D" w:rsidRDefault="006E0DB5">
            <w:pPr>
              <w:spacing w:after="0" w:line="240" w:lineRule="auto"/>
              <w:rPr>
                <w:color w:val="000000" w:themeColor="text1"/>
              </w:rPr>
            </w:pPr>
            <w:r w:rsidRPr="002E5D2D">
              <w:rPr>
                <w:color w:val="000000" w:themeColor="text1"/>
              </w:rPr>
              <w:t xml:space="preserve">A. </w:t>
            </w:r>
            <w:r w:rsidR="00CE0808" w:rsidRPr="002E5D2D">
              <w:rPr>
                <w:color w:val="000000" w:themeColor="text1"/>
              </w:rPr>
              <w:t>Congregate Meal Services:</w:t>
            </w:r>
          </w:p>
          <w:p w14:paraId="1721BF3F" w14:textId="77777777" w:rsidR="004E7974" w:rsidRPr="002E5D2D" w:rsidRDefault="004E7974" w:rsidP="00F1469B">
            <w:pPr>
              <w:pStyle w:val="ListParagraph"/>
              <w:numPr>
                <w:ilvl w:val="0"/>
                <w:numId w:val="9"/>
              </w:numPr>
              <w:suppressAutoHyphens w:val="0"/>
              <w:autoSpaceDN/>
              <w:spacing w:after="80" w:line="256" w:lineRule="auto"/>
              <w:ind w:left="520"/>
              <w:rPr>
                <w:color w:val="000000" w:themeColor="text1"/>
              </w:rPr>
            </w:pPr>
            <w:bookmarkStart w:id="2" w:name="_TOC_250010"/>
            <w:bookmarkStart w:id="3" w:name="_Toc442790540"/>
            <w:bookmarkStart w:id="4" w:name="_Toc442790786"/>
            <w:r w:rsidRPr="002E5D2D">
              <w:rPr>
                <w:b/>
                <w:bCs/>
                <w:color w:val="000000" w:themeColor="text1"/>
              </w:rPr>
              <w:t>Eligibility Criteria:</w:t>
            </w:r>
            <w:bookmarkEnd w:id="2"/>
            <w:bookmarkEnd w:id="3"/>
            <w:bookmarkEnd w:id="4"/>
          </w:p>
          <w:p w14:paraId="04B2984D" w14:textId="77777777" w:rsidR="004E7974" w:rsidRPr="002E5D2D" w:rsidRDefault="004E7974" w:rsidP="00F1469B">
            <w:pPr>
              <w:numPr>
                <w:ilvl w:val="1"/>
                <w:numId w:val="9"/>
              </w:numPr>
              <w:suppressAutoHyphens w:val="0"/>
              <w:autoSpaceDN/>
              <w:spacing w:after="80" w:line="256" w:lineRule="auto"/>
              <w:ind w:left="880"/>
              <w:rPr>
                <w:color w:val="000000" w:themeColor="text1"/>
              </w:rPr>
            </w:pPr>
            <w:r w:rsidRPr="002E5D2D">
              <w:rPr>
                <w:color w:val="000000" w:themeColor="text1"/>
              </w:rPr>
              <w:t>All people 60 years of age and older.</w:t>
            </w:r>
          </w:p>
          <w:p w14:paraId="52896F3B" w14:textId="77777777" w:rsidR="004E7974" w:rsidRPr="002E5D2D" w:rsidRDefault="004E7974" w:rsidP="00F1469B">
            <w:pPr>
              <w:numPr>
                <w:ilvl w:val="1"/>
                <w:numId w:val="9"/>
              </w:numPr>
              <w:suppressAutoHyphens w:val="0"/>
              <w:autoSpaceDN/>
              <w:spacing w:after="80" w:line="256" w:lineRule="auto"/>
              <w:ind w:left="880"/>
              <w:rPr>
                <w:color w:val="000000" w:themeColor="text1"/>
              </w:rPr>
            </w:pPr>
            <w:r w:rsidRPr="002E5D2D">
              <w:rPr>
                <w:color w:val="000000" w:themeColor="text1"/>
              </w:rPr>
              <w:t>The primary participant’s spouse may dine with the participant regardless of age.</w:t>
            </w:r>
          </w:p>
          <w:p w14:paraId="7D7CF92E" w14:textId="77777777" w:rsidR="004E7974" w:rsidRPr="002E5D2D" w:rsidRDefault="004E7974" w:rsidP="00F1469B">
            <w:pPr>
              <w:numPr>
                <w:ilvl w:val="1"/>
                <w:numId w:val="9"/>
              </w:numPr>
              <w:suppressAutoHyphens w:val="0"/>
              <w:autoSpaceDN/>
              <w:spacing w:after="80" w:line="256" w:lineRule="auto"/>
              <w:ind w:left="880"/>
              <w:rPr>
                <w:color w:val="000000" w:themeColor="text1"/>
              </w:rPr>
            </w:pPr>
            <w:r w:rsidRPr="002E5D2D">
              <w:rPr>
                <w:color w:val="000000" w:themeColor="text1"/>
              </w:rPr>
              <w:t>Individuals with disabilities who are not older individuals but who reside in housing facilities occupied primarily by older individuals at which congregate meals are served.</w:t>
            </w:r>
          </w:p>
          <w:p w14:paraId="3E70563E" w14:textId="77777777" w:rsidR="004E7974" w:rsidRPr="002E5D2D" w:rsidRDefault="004E7974" w:rsidP="00F1469B">
            <w:pPr>
              <w:numPr>
                <w:ilvl w:val="1"/>
                <w:numId w:val="9"/>
              </w:numPr>
              <w:suppressAutoHyphens w:val="0"/>
              <w:autoSpaceDN/>
              <w:spacing w:after="80" w:line="256" w:lineRule="auto"/>
              <w:ind w:left="880"/>
              <w:rPr>
                <w:color w:val="000000" w:themeColor="text1"/>
              </w:rPr>
            </w:pPr>
            <w:r w:rsidRPr="002E5D2D">
              <w:rPr>
                <w:color w:val="000000" w:themeColor="text1"/>
              </w:rPr>
              <w:t>A person with a disability, regardless of age, who lives with and accompanies older eligible individuals to the congregate site.</w:t>
            </w:r>
          </w:p>
          <w:p w14:paraId="76A95E2A" w14:textId="77777777" w:rsidR="004E7974" w:rsidRPr="002E5D2D" w:rsidRDefault="004E7974" w:rsidP="00F1469B">
            <w:pPr>
              <w:numPr>
                <w:ilvl w:val="1"/>
                <w:numId w:val="9"/>
              </w:numPr>
              <w:suppressAutoHyphens w:val="0"/>
              <w:autoSpaceDN/>
              <w:spacing w:after="80" w:line="256" w:lineRule="auto"/>
              <w:ind w:left="880"/>
              <w:rPr>
                <w:color w:val="000000" w:themeColor="text1"/>
              </w:rPr>
            </w:pPr>
            <w:r w:rsidRPr="002E5D2D">
              <w:rPr>
                <w:color w:val="000000" w:themeColor="text1"/>
              </w:rPr>
              <w:t>Individuals, regardless of age, providing volunteer services during the meal hours.</w:t>
            </w:r>
          </w:p>
          <w:p w14:paraId="5A8E62B3" w14:textId="77777777" w:rsidR="004E7974" w:rsidRPr="002E5D2D" w:rsidRDefault="004E7974" w:rsidP="00F1469B">
            <w:pPr>
              <w:numPr>
                <w:ilvl w:val="1"/>
                <w:numId w:val="9"/>
              </w:numPr>
              <w:suppressAutoHyphens w:val="0"/>
              <w:autoSpaceDN/>
              <w:spacing w:after="80" w:line="256" w:lineRule="auto"/>
              <w:ind w:left="880"/>
              <w:rPr>
                <w:color w:val="000000" w:themeColor="text1"/>
              </w:rPr>
            </w:pPr>
            <w:r w:rsidRPr="002E5D2D">
              <w:rPr>
                <w:color w:val="000000" w:themeColor="text1"/>
              </w:rPr>
              <w:t>An eligible participant’s unpaid caregiver aged 18-59 whose meal is paid for through Title IIIE Family Caregiver Support Program or other funds.</w:t>
            </w:r>
          </w:p>
          <w:p w14:paraId="236D472B" w14:textId="77777777" w:rsidR="004E7974" w:rsidRPr="002E5D2D" w:rsidRDefault="004E7974" w:rsidP="00F1469B">
            <w:pPr>
              <w:spacing w:after="80" w:line="256" w:lineRule="auto"/>
              <w:ind w:left="880"/>
              <w:rPr>
                <w:color w:val="000000" w:themeColor="text1"/>
              </w:rPr>
            </w:pPr>
            <w:bookmarkStart w:id="5" w:name="_Hlk195092510"/>
            <w:r w:rsidRPr="002E5D2D">
              <w:rPr>
                <w:color w:val="000000" w:themeColor="text1"/>
              </w:rPr>
              <w:t>*Non-eligible individuals may, in accordance with the Area Agency on Aging (AAA) or nutrition services provider (herein referred to as provider) policy and the funding available, be served a congregate meal once the needs of the eligible populations (parts a-f above) have been met:</w:t>
            </w:r>
          </w:p>
          <w:p w14:paraId="325003CE" w14:textId="77777777" w:rsidR="004E7974" w:rsidRPr="002E5D2D" w:rsidRDefault="004E7974" w:rsidP="00F1469B">
            <w:pPr>
              <w:numPr>
                <w:ilvl w:val="2"/>
                <w:numId w:val="9"/>
              </w:numPr>
              <w:suppressAutoHyphens w:val="0"/>
              <w:autoSpaceDN/>
              <w:spacing w:after="80" w:line="256" w:lineRule="auto"/>
              <w:ind w:left="1240"/>
              <w:rPr>
                <w:color w:val="000000" w:themeColor="text1"/>
              </w:rPr>
            </w:pPr>
            <w:r w:rsidRPr="002E5D2D">
              <w:rPr>
                <w:color w:val="000000" w:themeColor="text1"/>
              </w:rPr>
              <w:t>Staff of the nutrition program under 60 years of age.</w:t>
            </w:r>
          </w:p>
          <w:p w14:paraId="42AEBEBE" w14:textId="77777777" w:rsidR="004E7974" w:rsidRPr="002E5D2D" w:rsidRDefault="004E7974" w:rsidP="00F1469B">
            <w:pPr>
              <w:numPr>
                <w:ilvl w:val="2"/>
                <w:numId w:val="9"/>
              </w:numPr>
              <w:suppressAutoHyphens w:val="0"/>
              <w:autoSpaceDN/>
              <w:spacing w:after="80" w:line="256" w:lineRule="auto"/>
              <w:ind w:left="1240"/>
              <w:rPr>
                <w:color w:val="000000" w:themeColor="text1"/>
              </w:rPr>
            </w:pPr>
            <w:r w:rsidRPr="002E5D2D">
              <w:rPr>
                <w:color w:val="000000" w:themeColor="text1"/>
              </w:rPr>
              <w:t>Anyone who pays the full cost of the meal (this is considered program income).</w:t>
            </w:r>
          </w:p>
          <w:p w14:paraId="44D84EBF" w14:textId="77777777" w:rsidR="004E7974" w:rsidRPr="002E5D2D" w:rsidRDefault="004E7974" w:rsidP="00F1469B">
            <w:pPr>
              <w:spacing w:after="80" w:line="256" w:lineRule="auto"/>
              <w:ind w:left="880"/>
              <w:rPr>
                <w:color w:val="000000" w:themeColor="text1"/>
              </w:rPr>
            </w:pPr>
            <w:r w:rsidRPr="002E5D2D">
              <w:rPr>
                <w:color w:val="000000" w:themeColor="text1"/>
              </w:rPr>
              <w:t xml:space="preserve">Meals served to non-eligible individuals are not NSIP eligible and must not interfere with participation of the eligible populations. </w:t>
            </w:r>
            <w:bookmarkEnd w:id="5"/>
          </w:p>
          <w:p w14:paraId="29BBD3D6" w14:textId="77777777" w:rsidR="004E7974" w:rsidRPr="009B5083" w:rsidRDefault="004E7974" w:rsidP="004E7974">
            <w:pPr>
              <w:spacing w:after="80" w:line="256" w:lineRule="auto"/>
              <w:ind w:left="1080"/>
              <w:rPr>
                <w:color w:val="0070C0"/>
              </w:rPr>
            </w:pPr>
          </w:p>
          <w:p w14:paraId="7C54EC52" w14:textId="30C621BB" w:rsidR="004E7974" w:rsidRPr="008955F6" w:rsidRDefault="004E7974" w:rsidP="004E7974">
            <w:pPr>
              <w:spacing w:after="80" w:line="256" w:lineRule="auto"/>
              <w:rPr>
                <w:color w:val="000000" w:themeColor="text1"/>
              </w:rPr>
            </w:pPr>
            <w:r w:rsidRPr="008955F6">
              <w:rPr>
                <w:color w:val="000000" w:themeColor="text1"/>
              </w:rPr>
              <w:t>B. Home-Delivered Meal Services</w:t>
            </w:r>
          </w:p>
          <w:p w14:paraId="71AB629D" w14:textId="77777777" w:rsidR="00F1469B" w:rsidRPr="008955F6" w:rsidRDefault="00F1469B" w:rsidP="00F1469B">
            <w:pPr>
              <w:numPr>
                <w:ilvl w:val="0"/>
                <w:numId w:val="10"/>
              </w:numPr>
              <w:spacing w:after="80" w:line="256" w:lineRule="auto"/>
              <w:ind w:left="520"/>
              <w:rPr>
                <w:color w:val="000000" w:themeColor="text1"/>
              </w:rPr>
            </w:pPr>
            <w:bookmarkStart w:id="6" w:name="_TOC_250007"/>
            <w:bookmarkStart w:id="7" w:name="_Toc442790545"/>
            <w:bookmarkStart w:id="8" w:name="_Toc442790791"/>
            <w:r w:rsidRPr="008955F6">
              <w:rPr>
                <w:b/>
                <w:bCs/>
                <w:color w:val="000000" w:themeColor="text1"/>
              </w:rPr>
              <w:t>Eligibility Criteria</w:t>
            </w:r>
            <w:bookmarkEnd w:id="6"/>
            <w:bookmarkEnd w:id="7"/>
            <w:bookmarkEnd w:id="8"/>
          </w:p>
          <w:p w14:paraId="56F304BA" w14:textId="77777777" w:rsidR="00F1469B" w:rsidRPr="008955F6" w:rsidRDefault="00F1469B" w:rsidP="00F1469B">
            <w:pPr>
              <w:numPr>
                <w:ilvl w:val="1"/>
                <w:numId w:val="10"/>
              </w:numPr>
              <w:spacing w:after="80" w:line="256" w:lineRule="auto"/>
              <w:ind w:left="880"/>
              <w:rPr>
                <w:color w:val="000000" w:themeColor="text1"/>
              </w:rPr>
            </w:pPr>
            <w:r w:rsidRPr="008955F6">
              <w:rPr>
                <w:color w:val="000000" w:themeColor="text1"/>
              </w:rPr>
              <w:lastRenderedPageBreak/>
              <w:t>To be eligible for HDM services, individuals must be age 60 and older and homebound. Homebound is defined as typically unable to leave home unassisted, and for whom leaving home takes considerable and taxing effort. The homebound person may leave home for medical treatment or short, infrequent absences for non-medical reasons.</w:t>
            </w:r>
          </w:p>
          <w:p w14:paraId="44093427" w14:textId="77777777" w:rsidR="00F1469B" w:rsidRPr="008955F6" w:rsidRDefault="00F1469B" w:rsidP="00F1469B">
            <w:pPr>
              <w:spacing w:after="80" w:line="256" w:lineRule="auto"/>
              <w:ind w:left="880"/>
              <w:rPr>
                <w:b/>
                <w:i/>
                <w:color w:val="000000" w:themeColor="text1"/>
              </w:rPr>
            </w:pPr>
            <w:r w:rsidRPr="008955F6">
              <w:rPr>
                <w:b/>
                <w:i/>
                <w:color w:val="000000" w:themeColor="text1"/>
              </w:rPr>
              <w:t>AND</w:t>
            </w:r>
          </w:p>
          <w:p w14:paraId="30229B2E" w14:textId="77777777" w:rsidR="00F1469B" w:rsidRPr="008955F6" w:rsidRDefault="00F1469B" w:rsidP="00F1469B">
            <w:pPr>
              <w:numPr>
                <w:ilvl w:val="1"/>
                <w:numId w:val="10"/>
              </w:numPr>
              <w:spacing w:after="80" w:line="256" w:lineRule="auto"/>
              <w:ind w:left="880"/>
              <w:rPr>
                <w:color w:val="000000" w:themeColor="text1"/>
              </w:rPr>
            </w:pPr>
            <w:r w:rsidRPr="008955F6">
              <w:rPr>
                <w:color w:val="000000" w:themeColor="text1"/>
              </w:rPr>
              <w:t>Unable to prepare meals for themselves because of at least one of the following:</w:t>
            </w:r>
          </w:p>
          <w:p w14:paraId="3AA7F37A" w14:textId="77777777" w:rsidR="00F1469B" w:rsidRPr="008955F6" w:rsidRDefault="00F1469B" w:rsidP="00F1469B">
            <w:pPr>
              <w:numPr>
                <w:ilvl w:val="2"/>
                <w:numId w:val="10"/>
              </w:numPr>
              <w:spacing w:after="80" w:line="256" w:lineRule="auto"/>
              <w:ind w:left="1240"/>
              <w:rPr>
                <w:color w:val="000000" w:themeColor="text1"/>
              </w:rPr>
            </w:pPr>
            <w:r w:rsidRPr="008955F6">
              <w:rPr>
                <w:color w:val="000000" w:themeColor="text1"/>
              </w:rPr>
              <w:t>A disabling condition, such as limited physical mobility, cognitive or psychological impairment, sight impairment, or</w:t>
            </w:r>
          </w:p>
          <w:p w14:paraId="583458E6" w14:textId="77777777" w:rsidR="00F1469B" w:rsidRPr="008955F6" w:rsidRDefault="00F1469B" w:rsidP="00F1469B">
            <w:pPr>
              <w:numPr>
                <w:ilvl w:val="2"/>
                <w:numId w:val="10"/>
              </w:numPr>
              <w:spacing w:after="80" w:line="256" w:lineRule="auto"/>
              <w:ind w:left="1240"/>
              <w:rPr>
                <w:color w:val="000000" w:themeColor="text1"/>
              </w:rPr>
            </w:pPr>
            <w:r w:rsidRPr="008955F6">
              <w:rPr>
                <w:color w:val="000000" w:themeColor="text1"/>
              </w:rPr>
              <w:t>Lack of knowledge or skills to select and prepare nourishing and well-balanced meals, or</w:t>
            </w:r>
          </w:p>
          <w:p w14:paraId="6B4357A1" w14:textId="77777777" w:rsidR="00F1469B" w:rsidRPr="008955F6" w:rsidRDefault="00F1469B" w:rsidP="00F1469B">
            <w:pPr>
              <w:numPr>
                <w:ilvl w:val="2"/>
                <w:numId w:val="10"/>
              </w:numPr>
              <w:spacing w:after="80" w:line="256" w:lineRule="auto"/>
              <w:ind w:left="1240"/>
              <w:rPr>
                <w:color w:val="000000" w:themeColor="text1"/>
              </w:rPr>
            </w:pPr>
            <w:r w:rsidRPr="008955F6">
              <w:rPr>
                <w:color w:val="000000" w:themeColor="text1"/>
              </w:rPr>
              <w:t>Lack of means (such as financial, transportation, lack of access to food, etc.) to obtain or prepare nourishing meals, or</w:t>
            </w:r>
          </w:p>
          <w:p w14:paraId="1185A0CB" w14:textId="77777777" w:rsidR="00F1469B" w:rsidRPr="008955F6" w:rsidRDefault="00F1469B" w:rsidP="00F1469B">
            <w:pPr>
              <w:numPr>
                <w:ilvl w:val="2"/>
                <w:numId w:val="10"/>
              </w:numPr>
              <w:spacing w:after="80" w:line="256" w:lineRule="auto"/>
              <w:ind w:left="1240"/>
              <w:rPr>
                <w:color w:val="000000" w:themeColor="text1"/>
              </w:rPr>
            </w:pPr>
            <w:r w:rsidRPr="008955F6">
              <w:rPr>
                <w:color w:val="000000" w:themeColor="text1"/>
              </w:rPr>
              <w:t>Lack of incentive to prepare and eat a meal alone.</w:t>
            </w:r>
          </w:p>
          <w:p w14:paraId="4E765566" w14:textId="77777777" w:rsidR="00F1469B" w:rsidRPr="008955F6" w:rsidRDefault="00F1469B" w:rsidP="00F1469B">
            <w:pPr>
              <w:spacing w:after="80" w:line="256" w:lineRule="auto"/>
              <w:ind w:left="880"/>
              <w:rPr>
                <w:b/>
                <w:i/>
                <w:color w:val="000000" w:themeColor="text1"/>
              </w:rPr>
            </w:pPr>
            <w:r w:rsidRPr="008955F6">
              <w:rPr>
                <w:b/>
                <w:i/>
                <w:color w:val="000000" w:themeColor="text1"/>
              </w:rPr>
              <w:t>AAAs may establish additional criteria based on local targeting factors and greatest needs as defined in respective AAA Area Plan and may include the following:</w:t>
            </w:r>
          </w:p>
          <w:p w14:paraId="2CB7191A" w14:textId="77777777" w:rsidR="00F1469B" w:rsidRPr="008955F6" w:rsidRDefault="00F1469B" w:rsidP="00F1469B">
            <w:pPr>
              <w:numPr>
                <w:ilvl w:val="1"/>
                <w:numId w:val="10"/>
              </w:numPr>
              <w:spacing w:after="80" w:line="256" w:lineRule="auto"/>
              <w:ind w:left="880"/>
              <w:rPr>
                <w:color w:val="000000" w:themeColor="text1"/>
              </w:rPr>
            </w:pPr>
            <w:r w:rsidRPr="008955F6">
              <w:rPr>
                <w:color w:val="000000" w:themeColor="text1"/>
              </w:rPr>
              <w:t>Meet the vulnerability criteria. A person is considered vulnerable if they are unable to perform one or more of the activities of daily living (ADLs) or instrumental activities of daily living (IADLs) listed below without assistance due to physical, cognitive, emotional, psychological, or social impairment.</w:t>
            </w:r>
          </w:p>
          <w:p w14:paraId="074AB545" w14:textId="77777777" w:rsidR="00F1469B" w:rsidRPr="008955F6" w:rsidRDefault="00F1469B" w:rsidP="00F1469B">
            <w:pPr>
              <w:numPr>
                <w:ilvl w:val="2"/>
                <w:numId w:val="10"/>
              </w:numPr>
              <w:spacing w:after="80" w:line="256" w:lineRule="auto"/>
              <w:ind w:left="1240"/>
              <w:rPr>
                <w:color w:val="000000" w:themeColor="text1"/>
              </w:rPr>
            </w:pPr>
            <w:r w:rsidRPr="008955F6">
              <w:rPr>
                <w:color w:val="000000" w:themeColor="text1"/>
                <w:u w:val="single"/>
              </w:rPr>
              <w:t xml:space="preserve">Activities of daily living </w:t>
            </w:r>
            <w:r w:rsidRPr="008955F6">
              <w:rPr>
                <w:color w:val="000000" w:themeColor="text1"/>
              </w:rPr>
              <w:t>are eating, dressing, bathing, toileting, transferring in and out of bed/chair, walking.</w:t>
            </w:r>
          </w:p>
          <w:p w14:paraId="5818BBBB" w14:textId="77777777" w:rsidR="00F1469B" w:rsidRPr="008955F6" w:rsidRDefault="00F1469B" w:rsidP="00F1469B">
            <w:pPr>
              <w:numPr>
                <w:ilvl w:val="2"/>
                <w:numId w:val="10"/>
              </w:numPr>
              <w:spacing w:after="80" w:line="256" w:lineRule="auto"/>
              <w:ind w:left="1240"/>
              <w:rPr>
                <w:color w:val="000000" w:themeColor="text1"/>
              </w:rPr>
            </w:pPr>
            <w:r w:rsidRPr="008955F6">
              <w:rPr>
                <w:color w:val="000000" w:themeColor="text1"/>
                <w:u w:val="single"/>
              </w:rPr>
              <w:t xml:space="preserve">Instrumental activities of daily living </w:t>
            </w:r>
            <w:r w:rsidRPr="008955F6">
              <w:rPr>
                <w:color w:val="000000" w:themeColor="text1"/>
              </w:rPr>
              <w:t xml:space="preserve">are preparing meals, shopping, medication </w:t>
            </w:r>
            <w:r w:rsidRPr="008955F6">
              <w:rPr>
                <w:color w:val="000000" w:themeColor="text1"/>
              </w:rPr>
              <w:lastRenderedPageBreak/>
              <w:t>management, managing money, using the telephone, doing housework, transportation; or</w:t>
            </w:r>
          </w:p>
          <w:p w14:paraId="47E6E075" w14:textId="77777777" w:rsidR="00F1469B" w:rsidRPr="008955F6" w:rsidRDefault="00F1469B" w:rsidP="00F1469B">
            <w:pPr>
              <w:numPr>
                <w:ilvl w:val="2"/>
                <w:numId w:val="10"/>
              </w:numPr>
              <w:spacing w:after="80" w:line="256" w:lineRule="auto"/>
              <w:ind w:left="1240"/>
              <w:rPr>
                <w:color w:val="000000" w:themeColor="text1"/>
              </w:rPr>
            </w:pPr>
            <w:r w:rsidRPr="008955F6">
              <w:rPr>
                <w:color w:val="000000" w:themeColor="text1"/>
              </w:rPr>
              <w:t>Has a behavioral or mental health condition that could result in premature institutionalization; or is unable to provide for their own health and safety, due to cognitive, behavioral, psychological/emotional conditions which inhibit decision-making and threaten the ability to remain independent.</w:t>
            </w:r>
          </w:p>
          <w:p w14:paraId="7F3DB514" w14:textId="77777777" w:rsidR="00F1469B" w:rsidRPr="008955F6" w:rsidRDefault="00F1469B" w:rsidP="00F1469B">
            <w:pPr>
              <w:spacing w:after="80" w:line="256" w:lineRule="auto"/>
              <w:ind w:left="880"/>
              <w:rPr>
                <w:b/>
                <w:i/>
                <w:iCs/>
                <w:color w:val="000000" w:themeColor="text1"/>
              </w:rPr>
            </w:pPr>
            <w:r w:rsidRPr="008955F6">
              <w:rPr>
                <w:b/>
                <w:i/>
                <w:iCs/>
                <w:color w:val="000000" w:themeColor="text1"/>
              </w:rPr>
              <w:t>AND/OR</w:t>
            </w:r>
          </w:p>
          <w:p w14:paraId="7D58B287" w14:textId="77777777" w:rsidR="00F1469B" w:rsidRPr="008955F6" w:rsidRDefault="00F1469B" w:rsidP="00F1469B">
            <w:pPr>
              <w:numPr>
                <w:ilvl w:val="1"/>
                <w:numId w:val="10"/>
              </w:numPr>
              <w:spacing w:after="80" w:line="256" w:lineRule="auto"/>
              <w:ind w:left="880"/>
              <w:rPr>
                <w:color w:val="000000" w:themeColor="text1"/>
              </w:rPr>
            </w:pPr>
            <w:r w:rsidRPr="008955F6">
              <w:rPr>
                <w:color w:val="000000" w:themeColor="text1"/>
              </w:rPr>
              <w:t>Lacks a consistent informal support system, i.e., has no family, friends, neighbors, or others who are both willing and able to perform the service(s) needed, or the informal support system needs to be temporarily or permanently supplemented.</w:t>
            </w:r>
          </w:p>
          <w:p w14:paraId="4EC5E565" w14:textId="77777777" w:rsidR="00F1469B" w:rsidRPr="008955F6" w:rsidRDefault="00F1469B" w:rsidP="00F1469B">
            <w:pPr>
              <w:spacing w:after="80" w:line="256" w:lineRule="auto"/>
              <w:ind w:left="880"/>
              <w:rPr>
                <w:b/>
                <w:i/>
                <w:iCs/>
                <w:color w:val="000000" w:themeColor="text1"/>
              </w:rPr>
            </w:pPr>
            <w:r w:rsidRPr="008955F6">
              <w:rPr>
                <w:b/>
                <w:i/>
                <w:iCs/>
                <w:color w:val="000000" w:themeColor="text1"/>
              </w:rPr>
              <w:t>AND/OR</w:t>
            </w:r>
          </w:p>
          <w:p w14:paraId="18FE3361" w14:textId="77777777" w:rsidR="00F1469B" w:rsidRPr="008955F6" w:rsidRDefault="00F1469B" w:rsidP="00F1469B">
            <w:pPr>
              <w:numPr>
                <w:ilvl w:val="1"/>
                <w:numId w:val="10"/>
              </w:numPr>
              <w:spacing w:after="80" w:line="256" w:lineRule="auto"/>
              <w:ind w:left="880"/>
              <w:rPr>
                <w:color w:val="000000" w:themeColor="text1"/>
              </w:rPr>
            </w:pPr>
            <w:r w:rsidRPr="008955F6">
              <w:rPr>
                <w:color w:val="000000" w:themeColor="text1"/>
              </w:rPr>
              <w:t>Other people who are under 60 years old AND meet at least one of the following criteria, if resources are available</w:t>
            </w:r>
          </w:p>
          <w:p w14:paraId="6B05C1FD" w14:textId="77777777" w:rsidR="00F1469B" w:rsidRPr="008955F6" w:rsidRDefault="00F1469B" w:rsidP="00F1469B">
            <w:pPr>
              <w:numPr>
                <w:ilvl w:val="2"/>
                <w:numId w:val="10"/>
              </w:numPr>
              <w:spacing w:after="80" w:line="256" w:lineRule="auto"/>
              <w:ind w:left="1240"/>
              <w:rPr>
                <w:color w:val="000000" w:themeColor="text1"/>
              </w:rPr>
            </w:pPr>
            <w:r w:rsidRPr="008955F6">
              <w:rPr>
                <w:color w:val="000000" w:themeColor="text1"/>
              </w:rPr>
              <w:t>The spouse, regardless of age, of a participant receiving HDM funded through OAA or the Medicaid Waiver for HDM (COPES).</w:t>
            </w:r>
          </w:p>
          <w:p w14:paraId="56EFF820" w14:textId="77777777" w:rsidR="00F1469B" w:rsidRPr="008955F6" w:rsidRDefault="00F1469B" w:rsidP="00F1469B">
            <w:pPr>
              <w:numPr>
                <w:ilvl w:val="2"/>
                <w:numId w:val="10"/>
              </w:numPr>
              <w:spacing w:after="80" w:line="256" w:lineRule="auto"/>
              <w:ind w:left="1240"/>
              <w:rPr>
                <w:color w:val="000000" w:themeColor="text1"/>
              </w:rPr>
            </w:pPr>
            <w:r w:rsidRPr="008955F6">
              <w:rPr>
                <w:color w:val="000000" w:themeColor="text1"/>
              </w:rPr>
              <w:t>Individuals with disabilities, regardless of age, who reside in the same home with other individuals eligible for the service.</w:t>
            </w:r>
          </w:p>
          <w:p w14:paraId="4F0ECF26" w14:textId="77777777" w:rsidR="00F1469B" w:rsidRPr="008955F6" w:rsidRDefault="00F1469B" w:rsidP="00F1469B">
            <w:pPr>
              <w:numPr>
                <w:ilvl w:val="2"/>
                <w:numId w:val="10"/>
              </w:numPr>
              <w:spacing w:after="80" w:line="256" w:lineRule="auto"/>
              <w:ind w:left="1240"/>
              <w:rPr>
                <w:color w:val="000000" w:themeColor="text1"/>
              </w:rPr>
            </w:pPr>
            <w:r w:rsidRPr="008955F6">
              <w:rPr>
                <w:color w:val="000000" w:themeColor="text1"/>
              </w:rPr>
              <w:t>Individuals, regardless of age, providing volunteer services for the HDM program during meal delivery and meal hours.</w:t>
            </w:r>
          </w:p>
          <w:p w14:paraId="062DB163" w14:textId="77777777" w:rsidR="00F1469B" w:rsidRPr="008955F6" w:rsidRDefault="00F1469B" w:rsidP="00F1469B">
            <w:pPr>
              <w:numPr>
                <w:ilvl w:val="2"/>
                <w:numId w:val="10"/>
              </w:numPr>
              <w:spacing w:after="80" w:line="256" w:lineRule="auto"/>
              <w:ind w:left="1240"/>
              <w:rPr>
                <w:color w:val="000000" w:themeColor="text1"/>
              </w:rPr>
            </w:pPr>
            <w:r w:rsidRPr="008955F6">
              <w:rPr>
                <w:color w:val="000000" w:themeColor="text1"/>
              </w:rPr>
              <w:t>An eligible participant’s unpaid caregiver aged 18-59 whose meal is paid for through Title IIIE Family Caregiver Support Program or other funds.</w:t>
            </w:r>
          </w:p>
          <w:p w14:paraId="21FAC882" w14:textId="77777777" w:rsidR="00F1469B" w:rsidRPr="008955F6" w:rsidRDefault="00F1469B" w:rsidP="00F1469B">
            <w:pPr>
              <w:spacing w:after="80" w:line="256" w:lineRule="auto"/>
              <w:ind w:left="1240"/>
              <w:rPr>
                <w:color w:val="000000" w:themeColor="text1"/>
              </w:rPr>
            </w:pPr>
            <w:bookmarkStart w:id="9" w:name="_Hlk195093210"/>
            <w:r w:rsidRPr="008955F6">
              <w:rPr>
                <w:color w:val="000000" w:themeColor="text1"/>
              </w:rPr>
              <w:t xml:space="preserve">*Non-eligible individuals may, in accordance with the AAA or provider policy and the </w:t>
            </w:r>
            <w:r w:rsidRPr="008955F6">
              <w:rPr>
                <w:color w:val="000000" w:themeColor="text1"/>
              </w:rPr>
              <w:lastRenderedPageBreak/>
              <w:t>funding available, be served a home-delivered meal once the needs of the eligible population have been met:</w:t>
            </w:r>
          </w:p>
          <w:p w14:paraId="2CEAD6C7" w14:textId="77777777" w:rsidR="00F1469B" w:rsidRPr="008955F6" w:rsidRDefault="00F1469B" w:rsidP="00F1469B">
            <w:pPr>
              <w:numPr>
                <w:ilvl w:val="2"/>
                <w:numId w:val="9"/>
              </w:numPr>
              <w:spacing w:after="80" w:line="256" w:lineRule="auto"/>
              <w:ind w:left="1240"/>
              <w:rPr>
                <w:color w:val="000000" w:themeColor="text1"/>
              </w:rPr>
            </w:pPr>
            <w:r w:rsidRPr="008955F6">
              <w:rPr>
                <w:color w:val="000000" w:themeColor="text1"/>
              </w:rPr>
              <w:t>Staff of the nutrition program under 60 years of age.</w:t>
            </w:r>
          </w:p>
          <w:p w14:paraId="483E68EF" w14:textId="77777777" w:rsidR="00F1469B" w:rsidRPr="008955F6" w:rsidRDefault="00F1469B" w:rsidP="00F1469B">
            <w:pPr>
              <w:numPr>
                <w:ilvl w:val="2"/>
                <w:numId w:val="9"/>
              </w:numPr>
              <w:spacing w:after="80" w:line="256" w:lineRule="auto"/>
              <w:ind w:left="1240"/>
              <w:rPr>
                <w:color w:val="000000" w:themeColor="text1"/>
              </w:rPr>
            </w:pPr>
            <w:r w:rsidRPr="008955F6">
              <w:rPr>
                <w:color w:val="000000" w:themeColor="text1"/>
              </w:rPr>
              <w:t>Anyone who pays the full cost of the meal (this is considered program income).</w:t>
            </w:r>
          </w:p>
          <w:p w14:paraId="1D4C6E18" w14:textId="77777777" w:rsidR="00F1469B" w:rsidRPr="008955F6" w:rsidRDefault="00F1469B" w:rsidP="00F1469B">
            <w:pPr>
              <w:spacing w:after="80" w:line="256" w:lineRule="auto"/>
              <w:ind w:left="880"/>
              <w:rPr>
                <w:color w:val="000000" w:themeColor="text1"/>
              </w:rPr>
            </w:pPr>
            <w:r w:rsidRPr="008955F6">
              <w:rPr>
                <w:color w:val="000000" w:themeColor="text1"/>
              </w:rPr>
              <w:t xml:space="preserve">Meals served to non-eligible individuals are not NSIP eligible and must not interfere with participation of the eligible populations. </w:t>
            </w:r>
          </w:p>
          <w:p w14:paraId="310055B2" w14:textId="01D36D27" w:rsidR="006E0DB5" w:rsidRPr="008955F6" w:rsidRDefault="00F1469B" w:rsidP="00F1469B">
            <w:pPr>
              <w:spacing w:after="80" w:line="256" w:lineRule="auto"/>
              <w:ind w:left="880"/>
              <w:rPr>
                <w:color w:val="000000" w:themeColor="text1"/>
              </w:rPr>
            </w:pPr>
            <w:r w:rsidRPr="008955F6">
              <w:rPr>
                <w:color w:val="000000" w:themeColor="text1"/>
              </w:rPr>
              <w:t>**Per 45 CFR 1321.87(a)(2)(ii), “HDM service providers may encourage meal participants to attend congregate meal sites and other health and wellness activities, as feasible, based on a person-centered approach and local service availability.”</w:t>
            </w:r>
            <w:bookmarkEnd w:id="9"/>
          </w:p>
          <w:p w14:paraId="650D8E45" w14:textId="16A367FB" w:rsidR="00991216" w:rsidRDefault="00000000">
            <w:pPr>
              <w:spacing w:after="0" w:line="240" w:lineRule="auto"/>
            </w:pPr>
            <w:r w:rsidRPr="007023B1">
              <w:rPr>
                <w:highlight w:val="yellow"/>
              </w:rPr>
              <w:t xml:space="preserve"> </w:t>
            </w:r>
          </w:p>
          <w:p w14:paraId="650D8E46" w14:textId="0ED6F0D6" w:rsidR="00991216" w:rsidRPr="00295C10" w:rsidRDefault="00000000" w:rsidP="00336421">
            <w:pPr>
              <w:spacing w:line="240" w:lineRule="auto"/>
              <w:rPr>
                <w:i/>
                <w:iCs/>
              </w:rPr>
            </w:pPr>
            <w:r w:rsidRPr="00295C10">
              <w:rPr>
                <w:i/>
                <w:iCs/>
              </w:rPr>
              <w:t>(4) Evidence of consultation with area agencies on aging, nutrition and other direct services providers, other interested parties, and the general public regarding the provision of such meals</w:t>
            </w:r>
            <w:r w:rsidR="008955F6" w:rsidRPr="00295C10">
              <w:rPr>
                <w:i/>
                <w:iCs/>
              </w:rPr>
              <w:t>:</w:t>
            </w:r>
          </w:p>
          <w:p w14:paraId="3E7F703A" w14:textId="77777777" w:rsidR="00B95965" w:rsidRDefault="008955F6">
            <w:pPr>
              <w:spacing w:after="0" w:line="240" w:lineRule="auto"/>
            </w:pPr>
            <w:r>
              <w:t>As previously mentioned</w:t>
            </w:r>
            <w:r w:rsidR="00887014">
              <w:t xml:space="preserve"> in #2</w:t>
            </w:r>
            <w:r>
              <w:t>, HCLA has led a series of meetings collaborating closely with AAAs to address</w:t>
            </w:r>
            <w:r w:rsidR="00887014">
              <w:t xml:space="preserve"> policies and procedures </w:t>
            </w:r>
            <w:r w:rsidR="00B95965">
              <w:t xml:space="preserve">around Area Plans. Additionally, HCLA has led a separate workgroup to revise the state’s Senior Nutrition Program Standards in collaboration with AAAs and the provider network. </w:t>
            </w:r>
          </w:p>
          <w:p w14:paraId="5E7414D6" w14:textId="77777777" w:rsidR="00B95965" w:rsidRDefault="00B95965">
            <w:pPr>
              <w:spacing w:after="0" w:line="240" w:lineRule="auto"/>
            </w:pPr>
          </w:p>
          <w:p w14:paraId="37DF8206" w14:textId="77777777" w:rsidR="00FF2FBE" w:rsidRDefault="00B95965">
            <w:pPr>
              <w:spacing w:after="0" w:line="240" w:lineRule="auto"/>
            </w:pPr>
            <w:r>
              <w:t xml:space="preserve">Through these two workgroups, HCLA has updated </w:t>
            </w:r>
            <w:r w:rsidR="00661E38">
              <w:t xml:space="preserve">service standards which aim to meet updated regulations and to better serve aging Washingtonians. </w:t>
            </w:r>
          </w:p>
          <w:p w14:paraId="58CCC5F2" w14:textId="77777777" w:rsidR="00FF2FBE" w:rsidRDefault="00FF2FBE">
            <w:pPr>
              <w:spacing w:after="0" w:line="240" w:lineRule="auto"/>
            </w:pPr>
          </w:p>
          <w:p w14:paraId="27B211D9" w14:textId="6E98F125" w:rsidR="00FF2FBE" w:rsidRDefault="00FF2FBE">
            <w:pPr>
              <w:spacing w:after="0" w:line="240" w:lineRule="auto"/>
            </w:pPr>
            <w:r>
              <w:t xml:space="preserve">Changes to policy under these two workgroups are published through a public management bulletin process which allows for public input before any final action is taken. </w:t>
            </w:r>
          </w:p>
          <w:p w14:paraId="650D8E47" w14:textId="148BF899" w:rsidR="00991216" w:rsidRDefault="00B95965">
            <w:pPr>
              <w:spacing w:after="0" w:line="240" w:lineRule="auto"/>
            </w:pPr>
            <w:r>
              <w:t xml:space="preserve"> </w:t>
            </w:r>
          </w:p>
          <w:p w14:paraId="650D8E48" w14:textId="77777777" w:rsidR="00991216" w:rsidRPr="00336421" w:rsidRDefault="00000000" w:rsidP="00336421">
            <w:pPr>
              <w:spacing w:line="240" w:lineRule="auto"/>
              <w:rPr>
                <w:i/>
                <w:iCs/>
              </w:rPr>
            </w:pPr>
            <w:r w:rsidRPr="00336421">
              <w:rPr>
                <w:i/>
                <w:iCs/>
              </w:rPr>
              <w:t xml:space="preserve">(5) Description of how provision of such meals will be coordinated with area agencies on aging, nutrition and </w:t>
            </w:r>
            <w:r w:rsidRPr="00336421">
              <w:rPr>
                <w:i/>
                <w:iCs/>
              </w:rPr>
              <w:lastRenderedPageBreak/>
              <w:t>other direct services providers, and other interested parties.</w:t>
            </w:r>
          </w:p>
          <w:p w14:paraId="650D8E49" w14:textId="42624D62" w:rsidR="00991216" w:rsidRDefault="00FF2FBE">
            <w:pPr>
              <w:spacing w:after="0" w:line="240" w:lineRule="auto"/>
            </w:pPr>
            <w:r>
              <w:t>The revised Senior Nutrition Program Standards were</w:t>
            </w:r>
            <w:r w:rsidR="00000000" w:rsidRPr="00FF2FBE">
              <w:t xml:space="preserve"> developed in consultation with AAAs</w:t>
            </w:r>
            <w:r>
              <w:t xml:space="preserve"> and providers through a coordinated workgroup and will be</w:t>
            </w:r>
            <w:r w:rsidR="00000000" w:rsidRPr="00FF2FBE">
              <w:t xml:space="preserve"> published for review through </w:t>
            </w:r>
            <w:r>
              <w:t xml:space="preserve">the </w:t>
            </w:r>
            <w:r w:rsidR="00000000" w:rsidRPr="00FF2FBE">
              <w:t>public management bulletin.</w:t>
            </w:r>
            <w:r w:rsidR="00336421">
              <w:t xml:space="preserve"> These processes allow for both key partners, stakeholders, and other interested parties to provide input before policies and procedures are fully implemented. </w:t>
            </w:r>
          </w:p>
          <w:p w14:paraId="650D8E4A" w14:textId="77777777" w:rsidR="00991216" w:rsidRDefault="00000000">
            <w:pPr>
              <w:spacing w:after="0" w:line="240" w:lineRule="auto"/>
            </w:pPr>
            <w:r>
              <w:t xml:space="preserve"> </w:t>
            </w:r>
          </w:p>
        </w:tc>
      </w:tr>
      <w:tr w:rsidR="00991216" w14:paraId="650D8E4E" w14:textId="77777777">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D8E4C" w14:textId="5AA136EF" w:rsidR="00991216" w:rsidRDefault="00AB2ED9" w:rsidP="00D71983">
            <w:pPr>
              <w:spacing w:after="0" w:line="240" w:lineRule="auto"/>
              <w:ind w:left="337" w:hanging="270"/>
            </w:pPr>
            <w:r>
              <w:lastRenderedPageBreak/>
              <w:t>4</w:t>
            </w:r>
            <w:r w:rsidR="00000000">
              <w:t>.</w:t>
            </w:r>
            <w:r w:rsidR="00CE6538">
              <w:t xml:space="preserve"> </w:t>
            </w:r>
            <w:hyperlink r:id="rId16" w:history="1">
              <w:r w:rsidR="00CE6538" w:rsidRPr="00BD3594">
                <w:rPr>
                  <w:rStyle w:val="Hyperlink"/>
                </w:rPr>
                <w:t>45 CFR Part 1324(A)</w:t>
              </w:r>
            </w:hyperlink>
            <w:r w:rsidR="00CE6538">
              <w:t xml:space="preserve">: </w:t>
            </w:r>
            <w:r w:rsidR="00CE6538" w:rsidRPr="00E54483">
              <w:rPr>
                <w:b/>
                <w:bCs/>
              </w:rPr>
              <w:t>Address how the State agency will coordinate with the State Long-Term Care Ombudsman and allocate and use funds for the Ombudsman program under Title III and VII.</w:t>
            </w:r>
          </w:p>
        </w:tc>
        <w:tc>
          <w:tcPr>
            <w:tcW w:w="6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34834" w14:textId="7F88486E" w:rsidR="00CE6538" w:rsidRDefault="00CE6538">
            <w:pPr>
              <w:spacing w:after="0" w:line="240" w:lineRule="auto"/>
            </w:pPr>
            <w:r w:rsidRPr="00CE6538">
              <w:t>Under Title VII of the OAA, states are required to establish an Off</w:t>
            </w:r>
            <w:r>
              <w:t>i</w:t>
            </w:r>
            <w:r w:rsidRPr="00CE6538">
              <w:t xml:space="preserve">ce of the Long-Term Care Ombudsman. Washington State’s Long-Term Care Ombudsman Program </w:t>
            </w:r>
            <w:r>
              <w:t xml:space="preserve">(LTCOP) </w:t>
            </w:r>
            <w:r w:rsidRPr="00CE6538">
              <w:t xml:space="preserve">is operated under contract through </w:t>
            </w:r>
            <w:r w:rsidR="005D05D7">
              <w:t>the Washington State Department of Commerce</w:t>
            </w:r>
            <w:r w:rsidR="005D05D7" w:rsidRPr="00CE6538">
              <w:t xml:space="preserve"> </w:t>
            </w:r>
            <w:r w:rsidR="005D05D7">
              <w:t>(a</w:t>
            </w:r>
            <w:r w:rsidRPr="00CE6538">
              <w:t xml:space="preserve"> pass</w:t>
            </w:r>
            <w:r>
              <w:t>-</w:t>
            </w:r>
            <w:r w:rsidRPr="00CE6538">
              <w:t>through state agency</w:t>
            </w:r>
            <w:r w:rsidR="005D05D7">
              <w:t>)</w:t>
            </w:r>
            <w:r w:rsidRPr="00CE6538">
              <w:t xml:space="preserve"> with </w:t>
            </w:r>
            <w:r w:rsidR="005D05D7">
              <w:t xml:space="preserve">the Multi-Service Center (MSC). The MSC is </w:t>
            </w:r>
            <w:r w:rsidRPr="00CE6538">
              <w:t>an independent non-prof</w:t>
            </w:r>
            <w:r>
              <w:t>i</w:t>
            </w:r>
            <w:r w:rsidRPr="00CE6538">
              <w:t xml:space="preserve">t and works to resolve problems related to the health, safety, welfare, and rights of individuals who live in </w:t>
            </w:r>
            <w:r>
              <w:t>long-term care (LTC)</w:t>
            </w:r>
            <w:r w:rsidRPr="00CE6538">
              <w:t xml:space="preserve"> facilities. </w:t>
            </w:r>
          </w:p>
          <w:p w14:paraId="02893F40" w14:textId="77777777" w:rsidR="00CE6538" w:rsidRDefault="00CE6538">
            <w:pPr>
              <w:spacing w:after="0" w:line="240" w:lineRule="auto"/>
            </w:pPr>
          </w:p>
          <w:p w14:paraId="001910EC" w14:textId="3668E12C" w:rsidR="00CE6538" w:rsidRDefault="00CE6538">
            <w:pPr>
              <w:spacing w:after="0" w:line="240" w:lineRule="auto"/>
            </w:pPr>
            <w:r w:rsidRPr="00CE6538">
              <w:t xml:space="preserve">The LTCOP is led by the State Ombudsman and </w:t>
            </w:r>
            <w:r>
              <w:t xml:space="preserve">is </w:t>
            </w:r>
            <w:r w:rsidRPr="00CE6538">
              <w:t xml:space="preserve">comprised of trained staff &amp; volunteer ombudsman whose purpose is to protect and promote the guaranteed rights of LTC residents. LTC residents may reside in nursing homes, adult family homes, assisted living facilities, state operated enhanced cared facilities, veterans’ homes, and residential habilitative centers. </w:t>
            </w:r>
          </w:p>
          <w:p w14:paraId="20E5396F" w14:textId="77777777" w:rsidR="00CE6538" w:rsidRDefault="00CE6538">
            <w:pPr>
              <w:spacing w:after="0" w:line="240" w:lineRule="auto"/>
            </w:pPr>
          </w:p>
          <w:p w14:paraId="66E49C1B" w14:textId="77777777" w:rsidR="00CE6538" w:rsidRDefault="00CE6538">
            <w:pPr>
              <w:spacing w:after="0" w:line="240" w:lineRule="auto"/>
            </w:pPr>
            <w:r w:rsidRPr="00CE6538">
              <w:t xml:space="preserve">The LTCOP also conducts independent research, explores systemic issues and advocates before the legislature. The LTCOP leverages critical volunteer resources throughout the state. Currently, there are 19 paid FTEs and 141 volunteer ombudsmen throughout the state. Their work covers 206 nursing facilities and 4,028 residential care communities (including adult family homes and assisted living facilities), and may involve: </w:t>
            </w:r>
          </w:p>
          <w:p w14:paraId="6AC872BF" w14:textId="7B07C367" w:rsidR="00CE6538" w:rsidRDefault="00CE6538" w:rsidP="005D05D7">
            <w:pPr>
              <w:pStyle w:val="ListParagraph"/>
              <w:numPr>
                <w:ilvl w:val="0"/>
                <w:numId w:val="8"/>
              </w:numPr>
              <w:spacing w:after="0" w:line="240" w:lineRule="auto"/>
            </w:pPr>
            <w:r w:rsidRPr="00CE6538">
              <w:t xml:space="preserve">Identifying, investigating, and resolving complaints made by or on behalf of residents. </w:t>
            </w:r>
          </w:p>
          <w:p w14:paraId="0417E944" w14:textId="2A1883A6" w:rsidR="00CE6538" w:rsidRDefault="00CE6538" w:rsidP="005D05D7">
            <w:pPr>
              <w:pStyle w:val="ListParagraph"/>
              <w:numPr>
                <w:ilvl w:val="0"/>
                <w:numId w:val="8"/>
              </w:numPr>
              <w:spacing w:after="0" w:line="240" w:lineRule="auto"/>
            </w:pPr>
            <w:r w:rsidRPr="00CE6538">
              <w:t xml:space="preserve">Providing information to residents about </w:t>
            </w:r>
            <w:r w:rsidR="005D05D7">
              <w:t>long-term services and supports</w:t>
            </w:r>
            <w:r w:rsidRPr="00CE6538">
              <w:t xml:space="preserve">. </w:t>
            </w:r>
          </w:p>
          <w:p w14:paraId="0F717F95" w14:textId="57A2DBB2" w:rsidR="00CE6538" w:rsidRDefault="00CE6538" w:rsidP="005D05D7">
            <w:pPr>
              <w:pStyle w:val="ListParagraph"/>
              <w:numPr>
                <w:ilvl w:val="0"/>
                <w:numId w:val="8"/>
              </w:numPr>
              <w:spacing w:after="0" w:line="240" w:lineRule="auto"/>
            </w:pPr>
            <w:r w:rsidRPr="00CE6538">
              <w:lastRenderedPageBreak/>
              <w:t xml:space="preserve">Ensuring that residents have regular and timely access to ombudsman services. </w:t>
            </w:r>
          </w:p>
          <w:p w14:paraId="55293518" w14:textId="52E999D5" w:rsidR="00CE6538" w:rsidRDefault="00CE6538" w:rsidP="005D05D7">
            <w:pPr>
              <w:pStyle w:val="ListParagraph"/>
              <w:numPr>
                <w:ilvl w:val="0"/>
                <w:numId w:val="8"/>
              </w:numPr>
              <w:spacing w:after="0" w:line="240" w:lineRule="auto"/>
            </w:pPr>
            <w:r w:rsidRPr="00CE6538">
              <w:t xml:space="preserve">Representing the interests of residents before governmental agencies and </w:t>
            </w:r>
            <w:r w:rsidR="005D05D7" w:rsidRPr="00CE6538">
              <w:t>seeking</w:t>
            </w:r>
            <w:r w:rsidRPr="00CE6538">
              <w:t xml:space="preserve"> administrative, legal, and other remedies to protect residents. </w:t>
            </w:r>
          </w:p>
          <w:p w14:paraId="69737899" w14:textId="125740C0" w:rsidR="00991216" w:rsidRDefault="00CE6538" w:rsidP="005D05D7">
            <w:pPr>
              <w:pStyle w:val="ListParagraph"/>
              <w:numPr>
                <w:ilvl w:val="0"/>
                <w:numId w:val="8"/>
              </w:numPr>
              <w:spacing w:after="0" w:line="240" w:lineRule="auto"/>
            </w:pPr>
            <w:r w:rsidRPr="00CE6538">
              <w:t>Analyzing, commenting on, and recommending changes in laws and regulations pertaining to the health, safety, welfare, and rights of residents.</w:t>
            </w:r>
          </w:p>
          <w:p w14:paraId="5C09AB55" w14:textId="77777777" w:rsidR="00CE6538" w:rsidRDefault="00CE6538">
            <w:pPr>
              <w:spacing w:after="0" w:line="240" w:lineRule="auto"/>
            </w:pPr>
          </w:p>
          <w:p w14:paraId="650D8E4D" w14:textId="6A94B7B6" w:rsidR="00CE6538" w:rsidRDefault="005D05D7">
            <w:pPr>
              <w:spacing w:after="0" w:line="240" w:lineRule="auto"/>
            </w:pPr>
            <w:r>
              <w:t>Funding for the LTCOP is called out Washington’s Intrastate Funding Formula, under</w:t>
            </w:r>
            <w:r w:rsidR="00CE6538">
              <w:t xml:space="preserve"> </w:t>
            </w:r>
            <w:r>
              <w:t>p</w:t>
            </w:r>
            <w:r w:rsidR="00CE6538">
              <w:t xml:space="preserve">art </w:t>
            </w:r>
            <w:r w:rsidR="00CE6538" w:rsidRPr="00CE6538">
              <w:t xml:space="preserve">11. </w:t>
            </w:r>
            <w:r>
              <w:t>It reads, “</w:t>
            </w:r>
            <w:r w:rsidR="00CE6538" w:rsidRPr="00CE6538">
              <w:t xml:space="preserve">For the </w:t>
            </w:r>
            <w:r w:rsidR="00CE6538">
              <w:t>LTCOP</w:t>
            </w:r>
            <w:r w:rsidR="00CE6538" w:rsidRPr="00CE6538">
              <w:t>, DSHS provides grant and state funds to Commerce who oversees the grant and the allocation formula which is a weighted percentage of number of beds, facilities, and square miles for each region.</w:t>
            </w:r>
            <w:r>
              <w:t xml:space="preserve">” </w:t>
            </w:r>
          </w:p>
        </w:tc>
      </w:tr>
      <w:tr w:rsidR="00991216" w14:paraId="650D8E51" w14:textId="77777777">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D8E4F" w14:textId="3BE78288" w:rsidR="00991216" w:rsidRDefault="00016329" w:rsidP="00D71983">
            <w:pPr>
              <w:spacing w:after="0" w:line="240" w:lineRule="auto"/>
              <w:ind w:left="337" w:hanging="270"/>
            </w:pPr>
            <w:r>
              <w:lastRenderedPageBreak/>
              <w:t>5</w:t>
            </w:r>
            <w:r w:rsidR="00000000">
              <w:t>.</w:t>
            </w:r>
            <w:r w:rsidR="00E54483">
              <w:t xml:space="preserve"> </w:t>
            </w:r>
            <w:hyperlink r:id="rId17" w:anchor="p-1321.27(k)" w:history="1">
              <w:r w:rsidR="00E54483" w:rsidRPr="00E54483">
                <w:rPr>
                  <w:rStyle w:val="Hyperlink"/>
                </w:rPr>
                <w:t>45 CFR 1321.27(k)</w:t>
              </w:r>
            </w:hyperlink>
            <w:r w:rsidR="00E54483">
              <w:t xml:space="preserve">: </w:t>
            </w:r>
            <w:r w:rsidR="00E54483" w:rsidRPr="00BD3594">
              <w:rPr>
                <w:b/>
                <w:bCs/>
              </w:rPr>
              <w:t>Address how the State agency will use funds for prevention of elder abuse, neglect, and exploitation as set forth in</w:t>
            </w:r>
            <w:r w:rsidR="00E54483" w:rsidRPr="00E54483">
              <w:t xml:space="preserve"> </w:t>
            </w:r>
            <w:hyperlink r:id="rId18" w:history="1">
              <w:r w:rsidR="00E54483" w:rsidRPr="00E54483">
                <w:rPr>
                  <w:rStyle w:val="Hyperlink"/>
                </w:rPr>
                <w:t>45 CFR p</w:t>
              </w:r>
              <w:r w:rsidR="00E54483" w:rsidRPr="00E54483">
                <w:rPr>
                  <w:rStyle w:val="Hyperlink"/>
                </w:rPr>
                <w:t>a</w:t>
              </w:r>
              <w:r w:rsidR="00E54483" w:rsidRPr="00E54483">
                <w:rPr>
                  <w:rStyle w:val="Hyperlink"/>
                </w:rPr>
                <w:t>rt 1324, subpart B</w:t>
              </w:r>
            </w:hyperlink>
          </w:p>
        </w:tc>
        <w:tc>
          <w:tcPr>
            <w:tcW w:w="6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D8E50" w14:textId="7BA130C5" w:rsidR="00991216" w:rsidRDefault="00D4503F">
            <w:pPr>
              <w:spacing w:after="0" w:line="240" w:lineRule="auto"/>
            </w:pPr>
            <w:r>
              <w:t>Washington state</w:t>
            </w:r>
            <w:r w:rsidR="00826B55">
              <w:t xml:space="preserve"> allocates </w:t>
            </w:r>
            <w:r w:rsidRPr="00D4503F">
              <w:t xml:space="preserve">Title VII Elder Abuse Prevention funds </w:t>
            </w:r>
            <w:r w:rsidR="00826B55">
              <w:t xml:space="preserve">using the </w:t>
            </w:r>
            <w:r w:rsidR="002F5DE8">
              <w:t>federally approved</w:t>
            </w:r>
            <w:r w:rsidR="00826B55">
              <w:t xml:space="preserve"> </w:t>
            </w:r>
            <w:r w:rsidR="00C14088">
              <w:t xml:space="preserve">intrastate funding </w:t>
            </w:r>
            <w:r w:rsidR="00826B55">
              <w:t>formula</w:t>
            </w:r>
            <w:r w:rsidR="00C14088">
              <w:t xml:space="preserve"> (IFF). </w:t>
            </w:r>
            <w:r w:rsidRPr="00D4503F">
              <w:t xml:space="preserve"> </w:t>
            </w:r>
            <w:r w:rsidR="002A763F">
              <w:t>T</w:t>
            </w:r>
            <w:r w:rsidRPr="00D4503F">
              <w:t xml:space="preserve">his method </w:t>
            </w:r>
            <w:r w:rsidR="002A763F">
              <w:t xml:space="preserve">also includes </w:t>
            </w:r>
            <w:r w:rsidRPr="00D4503F">
              <w:t>a holdback</w:t>
            </w:r>
            <w:r w:rsidR="002A763F">
              <w:t xml:space="preserve"> for</w:t>
            </w:r>
            <w:r w:rsidRPr="00D4503F">
              <w:t xml:space="preserve"> </w:t>
            </w:r>
            <w:r w:rsidR="002A763F">
              <w:t xml:space="preserve">HCLA </w:t>
            </w:r>
            <w:r w:rsidRPr="00D4503F">
              <w:t>Headquarter</w:t>
            </w:r>
            <w:r w:rsidR="002A763F">
              <w:t>s, n</w:t>
            </w:r>
            <w:r w:rsidRPr="00D4503F">
              <w:t>ormally $20,000</w:t>
            </w:r>
            <w:r w:rsidR="002A763F">
              <w:t xml:space="preserve">. </w:t>
            </w:r>
            <w:r w:rsidR="00411EB4">
              <w:t xml:space="preserve">Funds are allocated to AAAs across the state who must support </w:t>
            </w:r>
          </w:p>
        </w:tc>
      </w:tr>
      <w:tr w:rsidR="00991216" w14:paraId="650D8E54" w14:textId="77777777">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D8E52" w14:textId="53374B43" w:rsidR="00991216" w:rsidRDefault="00016329" w:rsidP="00D71983">
            <w:pPr>
              <w:spacing w:after="0" w:line="240" w:lineRule="auto"/>
              <w:ind w:left="337" w:hanging="270"/>
            </w:pPr>
            <w:r>
              <w:t>6</w:t>
            </w:r>
            <w:r w:rsidR="00000000">
              <w:t>.</w:t>
            </w:r>
            <w:r w:rsidR="00937400">
              <w:t xml:space="preserve"> </w:t>
            </w:r>
            <w:hyperlink r:id="rId19" w:anchor="p-1321.27(m)" w:history="1">
              <w:r w:rsidR="00937400" w:rsidRPr="00937400">
                <w:rPr>
                  <w:rStyle w:val="Hyperlink"/>
                </w:rPr>
                <w:t>45 CFR 13</w:t>
              </w:r>
              <w:r w:rsidR="00937400" w:rsidRPr="00937400">
                <w:rPr>
                  <w:rStyle w:val="Hyperlink"/>
                </w:rPr>
                <w:t>2</w:t>
              </w:r>
              <w:r w:rsidR="00937400" w:rsidRPr="00937400">
                <w:rPr>
                  <w:rStyle w:val="Hyperlink"/>
                </w:rPr>
                <w:t>1.27(m)</w:t>
              </w:r>
            </w:hyperlink>
            <w:r w:rsidR="00937400">
              <w:t xml:space="preserve">: </w:t>
            </w:r>
            <w:r w:rsidR="00937400" w:rsidRPr="00E54483">
              <w:rPr>
                <w:b/>
                <w:bCs/>
              </w:rPr>
              <w:t>Address how the State agency will conduct monitoring that the assurances to which they attest are being met.</w:t>
            </w:r>
            <w:r w:rsidR="00937400">
              <w:t xml:space="preserve">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BEC0A" w14:textId="77777777" w:rsidR="00991216" w:rsidRDefault="00A8218E">
            <w:pPr>
              <w:spacing w:after="0" w:line="240" w:lineRule="auto"/>
            </w:pPr>
            <w:r>
              <w:t xml:space="preserve">Washington’s SUA convened a workgroup with AAA partners to </w:t>
            </w:r>
            <w:r w:rsidR="006B1292">
              <w:t>address compl</w:t>
            </w:r>
            <w:r w:rsidR="00EF557F">
              <w:t xml:space="preserve">iance </w:t>
            </w:r>
            <w:r w:rsidR="006B1292">
              <w:t>with</w:t>
            </w:r>
            <w:r w:rsidR="00EF557F">
              <w:t xml:space="preserve"> the OAA’s Final Rule as it relates to</w:t>
            </w:r>
            <w:r w:rsidR="006B1292">
              <w:t xml:space="preserve"> updated Area Plan regulations. A part of this process has been to address how the SUA </w:t>
            </w:r>
            <w:r w:rsidR="00EF557F">
              <w:t xml:space="preserve">will monitor to assurances </w:t>
            </w:r>
            <w:r w:rsidR="005C4B59">
              <w:t xml:space="preserve">under state and area plans. </w:t>
            </w:r>
          </w:p>
          <w:p w14:paraId="1B05BD02" w14:textId="77777777" w:rsidR="005C4B59" w:rsidRDefault="005C4B59">
            <w:pPr>
              <w:spacing w:after="0" w:line="240" w:lineRule="auto"/>
            </w:pPr>
          </w:p>
          <w:p w14:paraId="650D8E53" w14:textId="4A3D741F" w:rsidR="005C4B59" w:rsidRDefault="005C4B59">
            <w:pPr>
              <w:spacing w:after="0" w:line="240" w:lineRule="auto"/>
            </w:pPr>
            <w:r>
              <w:t xml:space="preserve">In addition to updating the assurances under the proposed Area Plan instructions, this workgroup discussed the ongoing need for the SUA to monitor to these assurances. The SUA </w:t>
            </w:r>
            <w:r w:rsidR="00733E70">
              <w:t xml:space="preserve">currently </w:t>
            </w:r>
            <w:r>
              <w:t xml:space="preserve">monitors </w:t>
            </w:r>
            <w:r w:rsidR="00733E70">
              <w:t xml:space="preserve">all 13 </w:t>
            </w:r>
            <w:r>
              <w:t xml:space="preserve">AAAs for compliance with state and federal rules on a 3-year cycle. The SUA will add </w:t>
            </w:r>
            <w:r w:rsidR="00D0649F">
              <w:t>monitoring to these assurances as a new part of the</w:t>
            </w:r>
            <w:r w:rsidR="00733E70">
              <w:t xml:space="preserve"> </w:t>
            </w:r>
            <w:r>
              <w:t xml:space="preserve">ongoing monitoring cycle </w:t>
            </w:r>
            <w:r w:rsidR="00733E70">
              <w:t>beginning in 2027 (concurrent with the new 4-year Area Plan cycle)</w:t>
            </w:r>
            <w:r>
              <w:t xml:space="preserve">.  </w:t>
            </w:r>
          </w:p>
        </w:tc>
      </w:tr>
      <w:tr w:rsidR="00991216" w14:paraId="650D8E57" w14:textId="77777777">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D8E55" w14:textId="75D48F94" w:rsidR="00991216" w:rsidRDefault="00016329" w:rsidP="00D71983">
            <w:pPr>
              <w:spacing w:after="0" w:line="240" w:lineRule="auto"/>
              <w:ind w:left="337" w:hanging="270"/>
            </w:pPr>
            <w:r>
              <w:t>7</w:t>
            </w:r>
            <w:r w:rsidR="00000000">
              <w:t>.</w:t>
            </w:r>
            <w:r w:rsidR="00937400" w:rsidRPr="00937400">
              <w:rPr>
                <w:rFonts w:ascii="Roboto" w:hAnsi="Roboto"/>
                <w:color w:val="333333"/>
                <w:shd w:val="clear" w:color="auto" w:fill="FFFFFF"/>
              </w:rPr>
              <w:t xml:space="preserve"> </w:t>
            </w:r>
            <w:hyperlink r:id="rId20" w:anchor="p-1321.27(l)" w:history="1">
              <w:r w:rsidR="00937400" w:rsidRPr="00937400">
                <w:rPr>
                  <w:rStyle w:val="Hyperlink"/>
                </w:rPr>
                <w:t>45 CFR 1321.27(l)</w:t>
              </w:r>
            </w:hyperlink>
            <w:r w:rsidR="00937400">
              <w:t xml:space="preserve">: </w:t>
            </w:r>
            <w:r w:rsidR="00937400" w:rsidRPr="00E54483">
              <w:rPr>
                <w:b/>
                <w:bCs/>
              </w:rPr>
              <w:t xml:space="preserve">Address how the State agency will meet responsibilities for the Legal Assistance </w:t>
            </w:r>
            <w:r w:rsidR="00937400" w:rsidRPr="00E54483">
              <w:rPr>
                <w:b/>
                <w:bCs/>
              </w:rPr>
              <w:lastRenderedPageBreak/>
              <w:t>Developer</w:t>
            </w:r>
            <w:r w:rsidR="00937400">
              <w:t xml:space="preserve"> (</w:t>
            </w:r>
            <w:hyperlink r:id="rId21" w:history="1">
              <w:r w:rsidR="00937400" w:rsidRPr="00937400">
                <w:rPr>
                  <w:rStyle w:val="Hyperlink"/>
                </w:rPr>
                <w:t>45 CFR 1324 subpart C</w:t>
              </w:r>
            </w:hyperlink>
            <w:r w:rsidR="00937400">
              <w:t>)</w:t>
            </w:r>
          </w:p>
        </w:tc>
        <w:tc>
          <w:tcPr>
            <w:tcW w:w="6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E8A47" w14:textId="4CFC0D52" w:rsidR="00CE6538" w:rsidRDefault="00CE6538" w:rsidP="005D05D7">
            <w:pPr>
              <w:pStyle w:val="ListParagraph"/>
              <w:ind w:left="0"/>
            </w:pPr>
            <w:r w:rsidRPr="00D0649F">
              <w:lastRenderedPageBreak/>
              <w:t xml:space="preserve">Under the OAA core services, HCLA also supports the Legal Services Program. This program provides access to the justice system by offering representation by a legal advocate (attorney, paralegal, or law student). The focus </w:t>
            </w:r>
            <w:r w:rsidRPr="00D0649F">
              <w:lastRenderedPageBreak/>
              <w:t xml:space="preserve">is on socially and economically needy older individuals who are experiencing civil legal problems. This service will often be the only way for these individuals to obtain trained legal help. AAAs contract with legal services providers that must meet standards set by HCLA. These providers receive referrals from community agencies (AAAs, HCLA, case management, information &amp; assistance providers, etc.) who may support individuals through legal representation and advocacy. </w:t>
            </w:r>
          </w:p>
          <w:p w14:paraId="3FD07B1B" w14:textId="77777777" w:rsidR="00D0649F" w:rsidRPr="00D0649F" w:rsidRDefault="00D0649F" w:rsidP="005D05D7">
            <w:pPr>
              <w:pStyle w:val="ListParagraph"/>
              <w:ind w:left="0"/>
            </w:pPr>
          </w:p>
          <w:p w14:paraId="650D8E56" w14:textId="4960FE34" w:rsidR="00991216" w:rsidRPr="00D0649F" w:rsidRDefault="00CE6538" w:rsidP="00016329">
            <w:pPr>
              <w:pStyle w:val="ListParagraph"/>
              <w:ind w:left="0"/>
            </w:pPr>
            <w:r w:rsidRPr="00D0649F">
              <w:t>L</w:t>
            </w:r>
            <w:r w:rsidR="00D0649F">
              <w:t>egal Assistance Developer (LAD)</w:t>
            </w:r>
            <w:r w:rsidRPr="00D0649F">
              <w:t xml:space="preserve"> activities will include stakeholdering for ongoing legal planning activities related to capacity, access, and technical assistance. LAD uses L</w:t>
            </w:r>
            <w:r w:rsidR="00D0649F">
              <w:t>ong-Term Care</w:t>
            </w:r>
            <w:r w:rsidRPr="00D0649F">
              <w:t xml:space="preserve"> Manual C</w:t>
            </w:r>
            <w:r w:rsidR="00D0649F">
              <w:t>hapter</w:t>
            </w:r>
            <w:r w:rsidRPr="00D0649F">
              <w:t xml:space="preserve"> 14 to provide program guidelines to AAA for Legal Services Program contractors.  </w:t>
            </w:r>
            <w:r w:rsidR="00D0649F">
              <w:t xml:space="preserve">The </w:t>
            </w:r>
            <w:r w:rsidRPr="00D0649F">
              <w:t xml:space="preserve">SUA monitors the AAA contracts </w:t>
            </w:r>
            <w:r w:rsidR="00D0649F">
              <w:t xml:space="preserve">for </w:t>
            </w:r>
            <w:r w:rsidRPr="00D0649F">
              <w:t>legal assistance service compliance and performance measure</w:t>
            </w:r>
            <w:r w:rsidR="00D0649F">
              <w:t xml:space="preserve">s. This </w:t>
            </w:r>
            <w:r w:rsidRPr="00D0649F">
              <w:t>include</w:t>
            </w:r>
            <w:r w:rsidR="00D0649F">
              <w:t>s</w:t>
            </w:r>
            <w:r w:rsidR="00016329">
              <w:t xml:space="preserve"> monitoring to the</w:t>
            </w:r>
            <w:r w:rsidRPr="00D0649F">
              <w:t xml:space="preserve"> funding requirements </w:t>
            </w:r>
            <w:r w:rsidR="00016329">
              <w:t>under</w:t>
            </w:r>
            <w:r w:rsidRPr="00D0649F">
              <w:t xml:space="preserve"> </w:t>
            </w:r>
            <w:r w:rsidR="00D0649F">
              <w:t xml:space="preserve">Title III part </w:t>
            </w:r>
            <w:r w:rsidRPr="00D0649F">
              <w:t xml:space="preserve">B </w:t>
            </w:r>
            <w:r w:rsidR="00016329">
              <w:t xml:space="preserve">at the </w:t>
            </w:r>
            <w:r w:rsidRPr="00D0649F">
              <w:t xml:space="preserve">11% </w:t>
            </w:r>
            <w:r w:rsidR="00016329">
              <w:t xml:space="preserve">level </w:t>
            </w:r>
            <w:r w:rsidRPr="00D0649F">
              <w:t xml:space="preserve">during routine and ongoing monitoring activities.  </w:t>
            </w:r>
          </w:p>
        </w:tc>
      </w:tr>
    </w:tbl>
    <w:p w14:paraId="650D8E58" w14:textId="77777777" w:rsidR="00991216" w:rsidRDefault="00991216"/>
    <w:sectPr w:rsidR="00991216">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72B48" w14:textId="77777777" w:rsidR="00C65076" w:rsidRDefault="00C65076">
      <w:pPr>
        <w:spacing w:after="0" w:line="240" w:lineRule="auto"/>
      </w:pPr>
      <w:r>
        <w:separator/>
      </w:r>
    </w:p>
  </w:endnote>
  <w:endnote w:type="continuationSeparator" w:id="0">
    <w:p w14:paraId="3102B9B8" w14:textId="77777777" w:rsidR="00C65076" w:rsidRDefault="00C65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F6E31" w14:textId="77777777" w:rsidR="00E3001D" w:rsidRDefault="00E30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F7CA7" w14:textId="77777777" w:rsidR="00E3001D" w:rsidRDefault="00E300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E5F80" w14:textId="77777777" w:rsidR="00E3001D" w:rsidRDefault="00E30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84084" w14:textId="77777777" w:rsidR="00C65076" w:rsidRDefault="00C65076">
      <w:pPr>
        <w:spacing w:after="0" w:line="240" w:lineRule="auto"/>
      </w:pPr>
      <w:r>
        <w:rPr>
          <w:color w:val="000000"/>
        </w:rPr>
        <w:separator/>
      </w:r>
    </w:p>
  </w:footnote>
  <w:footnote w:type="continuationSeparator" w:id="0">
    <w:p w14:paraId="73C47F47" w14:textId="77777777" w:rsidR="00C65076" w:rsidRDefault="00C65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9ADBA" w14:textId="77777777" w:rsidR="00E3001D" w:rsidRDefault="00E30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94559"/>
      <w:docPartObj>
        <w:docPartGallery w:val="Watermarks"/>
        <w:docPartUnique/>
      </w:docPartObj>
    </w:sdtPr>
    <w:sdtContent>
      <w:p w14:paraId="09654D29" w14:textId="1501C198" w:rsidR="00E3001D" w:rsidRDefault="00E3001D">
        <w:pPr>
          <w:pStyle w:val="Header"/>
        </w:pPr>
        <w:r>
          <w:rPr>
            <w:noProof/>
          </w:rPr>
          <w:pict w14:anchorId="6352A4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222B6" w14:textId="77777777" w:rsidR="00E3001D" w:rsidRDefault="00E30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3690"/>
    <w:multiLevelType w:val="hybridMultilevel"/>
    <w:tmpl w:val="56FEA9B8"/>
    <w:lvl w:ilvl="0" w:tplc="1C121EEA">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 w15:restartNumberingAfterBreak="0">
    <w:nsid w:val="076A13D8"/>
    <w:multiLevelType w:val="multilevel"/>
    <w:tmpl w:val="DD1037EA"/>
    <w:lvl w:ilvl="0">
      <w:start w:val="2"/>
      <w:numFmt w:val="lowerLetter"/>
      <w:lvlText w:val="%1."/>
      <w:lvlJc w:val="left"/>
      <w:pPr>
        <w:ind w:left="720" w:hanging="360"/>
      </w:pPr>
    </w:lvl>
    <w:lvl w:ilvl="1">
      <w:start w:val="1"/>
      <w:numFmt w:val="lowerLetter"/>
      <w:lvlText w:val="."/>
      <w:lvlJc w:val="left"/>
      <w:pPr>
        <w:ind w:left="1440" w:hanging="360"/>
      </w:pPr>
    </w:lvl>
    <w:lvl w:ilvl="2">
      <w:start w:val="1"/>
      <w:numFmt w:val="lowerLetter"/>
      <w:lvlText w:val="."/>
      <w:lvlJc w:val="left"/>
      <w:pPr>
        <w:ind w:left="2160" w:hanging="360"/>
      </w:pPr>
    </w:lvl>
    <w:lvl w:ilvl="3">
      <w:start w:val="1"/>
      <w:numFmt w:val="lowerLetter"/>
      <w:lvlText w:val="."/>
      <w:lvlJc w:val="left"/>
      <w:pPr>
        <w:ind w:left="2880" w:hanging="360"/>
      </w:pPr>
    </w:lvl>
    <w:lvl w:ilvl="4">
      <w:start w:val="1"/>
      <w:numFmt w:val="lowerLetter"/>
      <w:lvlText w:val="."/>
      <w:lvlJc w:val="left"/>
      <w:pPr>
        <w:ind w:left="3600" w:hanging="360"/>
      </w:pPr>
    </w:lvl>
    <w:lvl w:ilvl="5">
      <w:start w:val="1"/>
      <w:numFmt w:val="lowerLetter"/>
      <w:lvlText w:val="."/>
      <w:lvlJc w:val="left"/>
      <w:pPr>
        <w:ind w:left="4320" w:hanging="360"/>
      </w:pPr>
    </w:lvl>
    <w:lvl w:ilvl="6">
      <w:start w:val="1"/>
      <w:numFmt w:val="lowerLetter"/>
      <w:lvlText w:val="."/>
      <w:lvlJc w:val="left"/>
      <w:pPr>
        <w:ind w:left="5040" w:hanging="360"/>
      </w:pPr>
    </w:lvl>
    <w:lvl w:ilvl="7">
      <w:start w:val="1"/>
      <w:numFmt w:val="lowerLetter"/>
      <w:lvlText w:val="."/>
      <w:lvlJc w:val="left"/>
      <w:pPr>
        <w:ind w:left="5760" w:hanging="360"/>
      </w:pPr>
    </w:lvl>
    <w:lvl w:ilvl="8">
      <w:start w:val="1"/>
      <w:numFmt w:val="lowerLetter"/>
      <w:lvlText w:val="."/>
      <w:lvlJc w:val="left"/>
      <w:pPr>
        <w:ind w:left="6480" w:hanging="360"/>
      </w:pPr>
    </w:lvl>
  </w:abstractNum>
  <w:abstractNum w:abstractNumId="2" w15:restartNumberingAfterBreak="0">
    <w:nsid w:val="0BDD5A22"/>
    <w:multiLevelType w:val="multilevel"/>
    <w:tmpl w:val="2892B776"/>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Letter"/>
      <w:lvlText w:val="."/>
      <w:lvlJc w:val="left"/>
      <w:pPr>
        <w:ind w:left="2160" w:hanging="360"/>
      </w:pPr>
    </w:lvl>
    <w:lvl w:ilvl="3">
      <w:start w:val="1"/>
      <w:numFmt w:val="lowerLetter"/>
      <w:lvlText w:val="."/>
      <w:lvlJc w:val="left"/>
      <w:pPr>
        <w:ind w:left="2880" w:hanging="360"/>
      </w:pPr>
    </w:lvl>
    <w:lvl w:ilvl="4">
      <w:start w:val="1"/>
      <w:numFmt w:val="lowerLetter"/>
      <w:lvlText w:val="."/>
      <w:lvlJc w:val="left"/>
      <w:pPr>
        <w:ind w:left="3600" w:hanging="360"/>
      </w:pPr>
    </w:lvl>
    <w:lvl w:ilvl="5">
      <w:start w:val="1"/>
      <w:numFmt w:val="lowerLetter"/>
      <w:lvlText w:val="."/>
      <w:lvlJc w:val="left"/>
      <w:pPr>
        <w:ind w:left="4320" w:hanging="360"/>
      </w:pPr>
    </w:lvl>
    <w:lvl w:ilvl="6">
      <w:start w:val="1"/>
      <w:numFmt w:val="lowerLetter"/>
      <w:lvlText w:val="."/>
      <w:lvlJc w:val="left"/>
      <w:pPr>
        <w:ind w:left="5040" w:hanging="360"/>
      </w:pPr>
    </w:lvl>
    <w:lvl w:ilvl="7">
      <w:start w:val="1"/>
      <w:numFmt w:val="lowerLetter"/>
      <w:lvlText w:val="."/>
      <w:lvlJc w:val="left"/>
      <w:pPr>
        <w:ind w:left="5760" w:hanging="360"/>
      </w:pPr>
    </w:lvl>
    <w:lvl w:ilvl="8">
      <w:start w:val="1"/>
      <w:numFmt w:val="lowerLetter"/>
      <w:lvlText w:val="."/>
      <w:lvlJc w:val="left"/>
      <w:pPr>
        <w:ind w:left="6480" w:hanging="360"/>
      </w:pPr>
    </w:lvl>
  </w:abstractNum>
  <w:abstractNum w:abstractNumId="3" w15:restartNumberingAfterBreak="0">
    <w:nsid w:val="14C57488"/>
    <w:multiLevelType w:val="hybridMultilevel"/>
    <w:tmpl w:val="8F7CF96A"/>
    <w:lvl w:ilvl="0" w:tplc="04090011">
      <w:start w:val="1"/>
      <w:numFmt w:val="decimal"/>
      <w:lvlText w:val="%1)"/>
      <w:lvlJc w:val="left"/>
      <w:pPr>
        <w:ind w:left="1080" w:hanging="360"/>
      </w:pPr>
      <w:rPr>
        <w:b/>
        <w:bCs/>
        <w:spacing w:val="-3"/>
        <w:w w:val="99"/>
        <w:sz w:val="24"/>
        <w:szCs w:val="24"/>
      </w:rPr>
    </w:lvl>
    <w:lvl w:ilvl="1" w:tplc="DA58007E">
      <w:start w:val="1"/>
      <w:numFmt w:val="lowerLetter"/>
      <w:lvlText w:val="%2)"/>
      <w:lvlJc w:val="left"/>
      <w:pPr>
        <w:ind w:left="1440" w:hanging="360"/>
      </w:pPr>
      <w:rPr>
        <w:b/>
        <w:bCs/>
      </w:rPr>
    </w:lvl>
    <w:lvl w:ilvl="2" w:tplc="2CE00B5A">
      <w:start w:val="1"/>
      <w:numFmt w:val="lowerRoman"/>
      <w:lvlText w:val="%3."/>
      <w:lvlJc w:val="left"/>
      <w:pPr>
        <w:ind w:left="1800" w:hanging="360"/>
      </w:pPr>
      <w:rPr>
        <w:rFonts w:ascii="Aptos" w:eastAsia="Times New Roman" w:hAnsi="Aptos" w:cs="Times New Roman" w:hint="default"/>
        <w:w w:val="99"/>
        <w:sz w:val="24"/>
        <w:szCs w:val="24"/>
      </w:rPr>
    </w:lvl>
    <w:lvl w:ilvl="3" w:tplc="56FC9006">
      <w:start w:val="1"/>
      <w:numFmt w:val="bullet"/>
      <w:lvlText w:val="•"/>
      <w:lvlJc w:val="left"/>
      <w:pPr>
        <w:ind w:left="1890" w:hanging="488"/>
      </w:pPr>
    </w:lvl>
    <w:lvl w:ilvl="4" w:tplc="D6869016">
      <w:start w:val="1"/>
      <w:numFmt w:val="bullet"/>
      <w:lvlText w:val="•"/>
      <w:lvlJc w:val="left"/>
      <w:pPr>
        <w:ind w:left="2250" w:hanging="488"/>
      </w:pPr>
    </w:lvl>
    <w:lvl w:ilvl="5" w:tplc="3C40BCCE">
      <w:start w:val="1"/>
      <w:numFmt w:val="bullet"/>
      <w:lvlText w:val="•"/>
      <w:lvlJc w:val="left"/>
      <w:pPr>
        <w:ind w:left="2250" w:hanging="488"/>
      </w:pPr>
    </w:lvl>
    <w:lvl w:ilvl="6" w:tplc="C0224A42">
      <w:start w:val="1"/>
      <w:numFmt w:val="bullet"/>
      <w:lvlText w:val="•"/>
      <w:lvlJc w:val="left"/>
      <w:pPr>
        <w:ind w:left="2250" w:hanging="488"/>
      </w:pPr>
    </w:lvl>
    <w:lvl w:ilvl="7" w:tplc="49E8CB8C">
      <w:start w:val="1"/>
      <w:numFmt w:val="bullet"/>
      <w:lvlText w:val="•"/>
      <w:lvlJc w:val="left"/>
      <w:pPr>
        <w:ind w:left="4020" w:hanging="488"/>
      </w:pPr>
    </w:lvl>
    <w:lvl w:ilvl="8" w:tplc="52784BBE">
      <w:start w:val="1"/>
      <w:numFmt w:val="bullet"/>
      <w:lvlText w:val="•"/>
      <w:lvlJc w:val="left"/>
      <w:pPr>
        <w:ind w:left="5790" w:hanging="488"/>
      </w:pPr>
    </w:lvl>
  </w:abstractNum>
  <w:abstractNum w:abstractNumId="4" w15:restartNumberingAfterBreak="0">
    <w:nsid w:val="2D530599"/>
    <w:multiLevelType w:val="hybridMultilevel"/>
    <w:tmpl w:val="1E66A284"/>
    <w:lvl w:ilvl="0" w:tplc="04090011">
      <w:start w:val="1"/>
      <w:numFmt w:val="decimal"/>
      <w:lvlText w:val="%1)"/>
      <w:lvlJc w:val="left"/>
      <w:pPr>
        <w:ind w:left="1080" w:hanging="360"/>
      </w:pPr>
      <w:rPr>
        <w:b/>
        <w:bCs/>
        <w:spacing w:val="-3"/>
        <w:w w:val="99"/>
        <w:sz w:val="24"/>
        <w:szCs w:val="24"/>
      </w:rPr>
    </w:lvl>
    <w:lvl w:ilvl="1" w:tplc="D0F879D2">
      <w:start w:val="1"/>
      <w:numFmt w:val="lowerLetter"/>
      <w:lvlText w:val="%2)"/>
      <w:lvlJc w:val="left"/>
      <w:pPr>
        <w:ind w:left="1440" w:hanging="360"/>
      </w:pPr>
      <w:rPr>
        <w:b/>
        <w:bCs/>
      </w:rPr>
    </w:lvl>
    <w:lvl w:ilvl="2" w:tplc="A9BE6AD6">
      <w:start w:val="1"/>
      <w:numFmt w:val="lowerRoman"/>
      <w:lvlText w:val="%3."/>
      <w:lvlJc w:val="left"/>
      <w:pPr>
        <w:ind w:left="1800" w:hanging="360"/>
      </w:pPr>
      <w:rPr>
        <w:rFonts w:ascii="Aptos" w:eastAsia="Times New Roman" w:hAnsi="Aptos" w:cs="Times New Roman" w:hint="default"/>
        <w:spacing w:val="-2"/>
        <w:w w:val="99"/>
        <w:sz w:val="24"/>
        <w:szCs w:val="24"/>
      </w:rPr>
    </w:lvl>
    <w:lvl w:ilvl="3" w:tplc="FADEAD46">
      <w:start w:val="1"/>
      <w:numFmt w:val="bullet"/>
      <w:lvlText w:val="•"/>
      <w:lvlJc w:val="left"/>
      <w:pPr>
        <w:ind w:left="2280" w:hanging="480"/>
      </w:pPr>
    </w:lvl>
    <w:lvl w:ilvl="4" w:tplc="079AEBE2">
      <w:start w:val="1"/>
      <w:numFmt w:val="bullet"/>
      <w:lvlText w:val="•"/>
      <w:lvlJc w:val="left"/>
      <w:pPr>
        <w:ind w:left="2280" w:hanging="480"/>
      </w:pPr>
    </w:lvl>
    <w:lvl w:ilvl="5" w:tplc="E5E07138">
      <w:start w:val="1"/>
      <w:numFmt w:val="bullet"/>
      <w:lvlText w:val="•"/>
      <w:lvlJc w:val="left"/>
      <w:pPr>
        <w:ind w:left="2640" w:hanging="480"/>
      </w:pPr>
    </w:lvl>
    <w:lvl w:ilvl="6" w:tplc="CCDA849E">
      <w:start w:val="1"/>
      <w:numFmt w:val="bullet"/>
      <w:lvlText w:val="•"/>
      <w:lvlJc w:val="left"/>
      <w:pPr>
        <w:ind w:left="2640" w:hanging="480"/>
      </w:pPr>
    </w:lvl>
    <w:lvl w:ilvl="7" w:tplc="37A2B9F4">
      <w:start w:val="1"/>
      <w:numFmt w:val="bullet"/>
      <w:lvlText w:val="•"/>
      <w:lvlJc w:val="left"/>
      <w:pPr>
        <w:ind w:left="2640" w:hanging="480"/>
      </w:pPr>
    </w:lvl>
    <w:lvl w:ilvl="8" w:tplc="5C14BD28">
      <w:start w:val="1"/>
      <w:numFmt w:val="bullet"/>
      <w:lvlText w:val="•"/>
      <w:lvlJc w:val="left"/>
      <w:pPr>
        <w:ind w:left="2640" w:hanging="480"/>
      </w:pPr>
    </w:lvl>
  </w:abstractNum>
  <w:abstractNum w:abstractNumId="5" w15:restartNumberingAfterBreak="0">
    <w:nsid w:val="47857115"/>
    <w:multiLevelType w:val="multilevel"/>
    <w:tmpl w:val="2A14B964"/>
    <w:lvl w:ilvl="0">
      <w:start w:val="3"/>
      <w:numFmt w:val="lowerLetter"/>
      <w:lvlText w:val="%1."/>
      <w:lvlJc w:val="left"/>
      <w:pPr>
        <w:ind w:left="720" w:hanging="360"/>
      </w:pPr>
    </w:lvl>
    <w:lvl w:ilvl="1">
      <w:start w:val="1"/>
      <w:numFmt w:val="lowerLetter"/>
      <w:lvlText w:val="."/>
      <w:lvlJc w:val="left"/>
      <w:pPr>
        <w:ind w:left="1440" w:hanging="360"/>
      </w:pPr>
    </w:lvl>
    <w:lvl w:ilvl="2">
      <w:start w:val="1"/>
      <w:numFmt w:val="lowerLetter"/>
      <w:lvlText w:val="."/>
      <w:lvlJc w:val="left"/>
      <w:pPr>
        <w:ind w:left="2160" w:hanging="360"/>
      </w:pPr>
    </w:lvl>
    <w:lvl w:ilvl="3">
      <w:start w:val="1"/>
      <w:numFmt w:val="lowerLetter"/>
      <w:lvlText w:val="."/>
      <w:lvlJc w:val="left"/>
      <w:pPr>
        <w:ind w:left="2880" w:hanging="360"/>
      </w:pPr>
    </w:lvl>
    <w:lvl w:ilvl="4">
      <w:start w:val="1"/>
      <w:numFmt w:val="lowerLetter"/>
      <w:lvlText w:val="."/>
      <w:lvlJc w:val="left"/>
      <w:pPr>
        <w:ind w:left="3600" w:hanging="360"/>
      </w:pPr>
    </w:lvl>
    <w:lvl w:ilvl="5">
      <w:start w:val="1"/>
      <w:numFmt w:val="lowerLetter"/>
      <w:lvlText w:val="."/>
      <w:lvlJc w:val="left"/>
      <w:pPr>
        <w:ind w:left="4320" w:hanging="360"/>
      </w:pPr>
    </w:lvl>
    <w:lvl w:ilvl="6">
      <w:start w:val="1"/>
      <w:numFmt w:val="lowerLetter"/>
      <w:lvlText w:val="."/>
      <w:lvlJc w:val="left"/>
      <w:pPr>
        <w:ind w:left="5040" w:hanging="360"/>
      </w:pPr>
    </w:lvl>
    <w:lvl w:ilvl="7">
      <w:start w:val="1"/>
      <w:numFmt w:val="lowerLetter"/>
      <w:lvlText w:val="."/>
      <w:lvlJc w:val="left"/>
      <w:pPr>
        <w:ind w:left="5760" w:hanging="360"/>
      </w:pPr>
    </w:lvl>
    <w:lvl w:ilvl="8">
      <w:start w:val="1"/>
      <w:numFmt w:val="lowerLetter"/>
      <w:lvlText w:val="."/>
      <w:lvlJc w:val="left"/>
      <w:pPr>
        <w:ind w:left="6480" w:hanging="360"/>
      </w:pPr>
    </w:lvl>
  </w:abstractNum>
  <w:abstractNum w:abstractNumId="6" w15:restartNumberingAfterBreak="0">
    <w:nsid w:val="4A23547F"/>
    <w:multiLevelType w:val="hybridMultilevel"/>
    <w:tmpl w:val="AB661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70FA9"/>
    <w:multiLevelType w:val="multilevel"/>
    <w:tmpl w:val="06182D2C"/>
    <w:lvl w:ilvl="0">
      <w:start w:val="4"/>
      <w:numFmt w:val="lowerLetter"/>
      <w:lvlText w:val="%1."/>
      <w:lvlJc w:val="left"/>
      <w:pPr>
        <w:ind w:left="720" w:hanging="360"/>
      </w:pPr>
    </w:lvl>
    <w:lvl w:ilvl="1">
      <w:start w:val="1"/>
      <w:numFmt w:val="lowerLetter"/>
      <w:lvlText w:val="."/>
      <w:lvlJc w:val="left"/>
      <w:pPr>
        <w:ind w:left="1440" w:hanging="360"/>
      </w:pPr>
    </w:lvl>
    <w:lvl w:ilvl="2">
      <w:start w:val="1"/>
      <w:numFmt w:val="lowerLetter"/>
      <w:lvlText w:val="."/>
      <w:lvlJc w:val="left"/>
      <w:pPr>
        <w:ind w:left="2160" w:hanging="360"/>
      </w:pPr>
    </w:lvl>
    <w:lvl w:ilvl="3">
      <w:start w:val="1"/>
      <w:numFmt w:val="lowerLetter"/>
      <w:lvlText w:val="."/>
      <w:lvlJc w:val="left"/>
      <w:pPr>
        <w:ind w:left="2880" w:hanging="360"/>
      </w:pPr>
    </w:lvl>
    <w:lvl w:ilvl="4">
      <w:start w:val="1"/>
      <w:numFmt w:val="lowerLetter"/>
      <w:lvlText w:val="."/>
      <w:lvlJc w:val="left"/>
      <w:pPr>
        <w:ind w:left="3600" w:hanging="360"/>
      </w:pPr>
    </w:lvl>
    <w:lvl w:ilvl="5">
      <w:start w:val="1"/>
      <w:numFmt w:val="lowerLetter"/>
      <w:lvlText w:val="."/>
      <w:lvlJc w:val="left"/>
      <w:pPr>
        <w:ind w:left="4320" w:hanging="360"/>
      </w:pPr>
    </w:lvl>
    <w:lvl w:ilvl="6">
      <w:start w:val="1"/>
      <w:numFmt w:val="lowerLetter"/>
      <w:lvlText w:val="."/>
      <w:lvlJc w:val="left"/>
      <w:pPr>
        <w:ind w:left="5040" w:hanging="360"/>
      </w:pPr>
    </w:lvl>
    <w:lvl w:ilvl="7">
      <w:start w:val="1"/>
      <w:numFmt w:val="lowerLetter"/>
      <w:lvlText w:val="."/>
      <w:lvlJc w:val="left"/>
      <w:pPr>
        <w:ind w:left="5760" w:hanging="360"/>
      </w:pPr>
    </w:lvl>
    <w:lvl w:ilvl="8">
      <w:start w:val="1"/>
      <w:numFmt w:val="lowerLetter"/>
      <w:lvlText w:val="."/>
      <w:lvlJc w:val="left"/>
      <w:pPr>
        <w:ind w:left="6480" w:hanging="360"/>
      </w:pPr>
    </w:lvl>
  </w:abstractNum>
  <w:abstractNum w:abstractNumId="8" w15:restartNumberingAfterBreak="0">
    <w:nsid w:val="6D0E7D46"/>
    <w:multiLevelType w:val="hybridMultilevel"/>
    <w:tmpl w:val="25EEA14E"/>
    <w:lvl w:ilvl="0" w:tplc="ED709044">
      <w:numFmt w:val="bullet"/>
      <w:lvlText w:val="•"/>
      <w:lvlJc w:val="left"/>
      <w:pPr>
        <w:ind w:left="720" w:hanging="360"/>
      </w:pPr>
      <w:rPr>
        <w:rFonts w:ascii="Aptos" w:eastAsia="Aptos"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033C49"/>
    <w:multiLevelType w:val="multilevel"/>
    <w:tmpl w:val="163419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61E37AE"/>
    <w:multiLevelType w:val="multilevel"/>
    <w:tmpl w:val="BBBA51F8"/>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295261320">
    <w:abstractNumId w:val="10"/>
  </w:num>
  <w:num w:numId="2" w16cid:durableId="1812598018">
    <w:abstractNumId w:val="9"/>
  </w:num>
  <w:num w:numId="3" w16cid:durableId="1397045952">
    <w:abstractNumId w:val="2"/>
  </w:num>
  <w:num w:numId="4" w16cid:durableId="1021468052">
    <w:abstractNumId w:val="1"/>
  </w:num>
  <w:num w:numId="5" w16cid:durableId="1845825117">
    <w:abstractNumId w:val="5"/>
  </w:num>
  <w:num w:numId="6" w16cid:durableId="1060445656">
    <w:abstractNumId w:val="7"/>
  </w:num>
  <w:num w:numId="7" w16cid:durableId="1120297681">
    <w:abstractNumId w:val="6"/>
  </w:num>
  <w:num w:numId="8" w16cid:durableId="477694915">
    <w:abstractNumId w:val="8"/>
  </w:num>
  <w:num w:numId="9" w16cid:durableId="1991710605">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16cid:durableId="273024122">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16cid:durableId="321814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216"/>
    <w:rsid w:val="00016329"/>
    <w:rsid w:val="00047D36"/>
    <w:rsid w:val="00087862"/>
    <w:rsid w:val="000A0F2A"/>
    <w:rsid w:val="000C7609"/>
    <w:rsid w:val="00106A7B"/>
    <w:rsid w:val="001178B2"/>
    <w:rsid w:val="00117941"/>
    <w:rsid w:val="00124885"/>
    <w:rsid w:val="001353C6"/>
    <w:rsid w:val="001848DB"/>
    <w:rsid w:val="001B7455"/>
    <w:rsid w:val="001F7235"/>
    <w:rsid w:val="00214C17"/>
    <w:rsid w:val="00247B62"/>
    <w:rsid w:val="00277084"/>
    <w:rsid w:val="00295C10"/>
    <w:rsid w:val="002A50E0"/>
    <w:rsid w:val="002A763F"/>
    <w:rsid w:val="002E4BB6"/>
    <w:rsid w:val="002E5D2D"/>
    <w:rsid w:val="002F5DE8"/>
    <w:rsid w:val="00336421"/>
    <w:rsid w:val="00343E4B"/>
    <w:rsid w:val="00366A1C"/>
    <w:rsid w:val="00381432"/>
    <w:rsid w:val="003E4306"/>
    <w:rsid w:val="003F329D"/>
    <w:rsid w:val="00411EB4"/>
    <w:rsid w:val="004542D2"/>
    <w:rsid w:val="004572EC"/>
    <w:rsid w:val="00495676"/>
    <w:rsid w:val="00497EF1"/>
    <w:rsid w:val="004B32B8"/>
    <w:rsid w:val="004E7974"/>
    <w:rsid w:val="00500C43"/>
    <w:rsid w:val="0050244F"/>
    <w:rsid w:val="005723EB"/>
    <w:rsid w:val="00582A0A"/>
    <w:rsid w:val="005B1970"/>
    <w:rsid w:val="005C4B59"/>
    <w:rsid w:val="005D05D7"/>
    <w:rsid w:val="005E28CA"/>
    <w:rsid w:val="005F634C"/>
    <w:rsid w:val="00614B72"/>
    <w:rsid w:val="00636433"/>
    <w:rsid w:val="00661E38"/>
    <w:rsid w:val="006B1292"/>
    <w:rsid w:val="006E0DB5"/>
    <w:rsid w:val="006F1C84"/>
    <w:rsid w:val="00701329"/>
    <w:rsid w:val="007023B1"/>
    <w:rsid w:val="00712A3F"/>
    <w:rsid w:val="007210A1"/>
    <w:rsid w:val="00733BFB"/>
    <w:rsid w:val="00733E70"/>
    <w:rsid w:val="00737920"/>
    <w:rsid w:val="00743C92"/>
    <w:rsid w:val="0076431C"/>
    <w:rsid w:val="00771698"/>
    <w:rsid w:val="00777A7E"/>
    <w:rsid w:val="0079103C"/>
    <w:rsid w:val="007C0123"/>
    <w:rsid w:val="007E697D"/>
    <w:rsid w:val="00826B55"/>
    <w:rsid w:val="00834AEA"/>
    <w:rsid w:val="0084097B"/>
    <w:rsid w:val="00885D4A"/>
    <w:rsid w:val="00887014"/>
    <w:rsid w:val="00887C52"/>
    <w:rsid w:val="008955F6"/>
    <w:rsid w:val="008968B4"/>
    <w:rsid w:val="008B16A9"/>
    <w:rsid w:val="008F2D4E"/>
    <w:rsid w:val="00937400"/>
    <w:rsid w:val="00991216"/>
    <w:rsid w:val="009A1D50"/>
    <w:rsid w:val="009A278A"/>
    <w:rsid w:val="009B5083"/>
    <w:rsid w:val="009C6710"/>
    <w:rsid w:val="009E5B9C"/>
    <w:rsid w:val="009F3EE0"/>
    <w:rsid w:val="00A44DEC"/>
    <w:rsid w:val="00A8218E"/>
    <w:rsid w:val="00A94FF7"/>
    <w:rsid w:val="00AB2ED9"/>
    <w:rsid w:val="00AC3941"/>
    <w:rsid w:val="00B178EE"/>
    <w:rsid w:val="00B66292"/>
    <w:rsid w:val="00B91EA4"/>
    <w:rsid w:val="00B94487"/>
    <w:rsid w:val="00B95965"/>
    <w:rsid w:val="00BA44DB"/>
    <w:rsid w:val="00BB655C"/>
    <w:rsid w:val="00BC0DF8"/>
    <w:rsid w:val="00BC3C01"/>
    <w:rsid w:val="00BD3594"/>
    <w:rsid w:val="00BE0243"/>
    <w:rsid w:val="00BE3AFD"/>
    <w:rsid w:val="00C14088"/>
    <w:rsid w:val="00C14F03"/>
    <w:rsid w:val="00C30F20"/>
    <w:rsid w:val="00C65076"/>
    <w:rsid w:val="00C7408A"/>
    <w:rsid w:val="00CE0808"/>
    <w:rsid w:val="00CE6538"/>
    <w:rsid w:val="00CF3658"/>
    <w:rsid w:val="00D05256"/>
    <w:rsid w:val="00D0649F"/>
    <w:rsid w:val="00D11230"/>
    <w:rsid w:val="00D4503F"/>
    <w:rsid w:val="00D67424"/>
    <w:rsid w:val="00D71983"/>
    <w:rsid w:val="00D7353A"/>
    <w:rsid w:val="00DB4978"/>
    <w:rsid w:val="00DC67E1"/>
    <w:rsid w:val="00DE0647"/>
    <w:rsid w:val="00DE165A"/>
    <w:rsid w:val="00E022FB"/>
    <w:rsid w:val="00E3001D"/>
    <w:rsid w:val="00E3582A"/>
    <w:rsid w:val="00E54483"/>
    <w:rsid w:val="00E84AC8"/>
    <w:rsid w:val="00EA05C5"/>
    <w:rsid w:val="00EA7AD5"/>
    <w:rsid w:val="00EC358F"/>
    <w:rsid w:val="00ED0182"/>
    <w:rsid w:val="00EF557F"/>
    <w:rsid w:val="00F143ED"/>
    <w:rsid w:val="00F1469B"/>
    <w:rsid w:val="00F60406"/>
    <w:rsid w:val="00F77BB3"/>
    <w:rsid w:val="00FD2B55"/>
    <w:rsid w:val="00FF2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D8E26"/>
  <w15:docId w15:val="{C7AB669C-4A85-4AD3-8DE1-43CBE397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6607D"/>
      <w:u w:val="single"/>
    </w:rPr>
  </w:style>
  <w:style w:type="paragraph" w:styleId="Header">
    <w:name w:val="header"/>
    <w:basedOn w:val="Normal"/>
    <w:link w:val="HeaderChar"/>
    <w:uiPriority w:val="99"/>
    <w:unhideWhenUsed/>
    <w:rsid w:val="00E30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01D"/>
  </w:style>
  <w:style w:type="paragraph" w:styleId="Footer">
    <w:name w:val="footer"/>
    <w:basedOn w:val="Normal"/>
    <w:link w:val="FooterChar"/>
    <w:uiPriority w:val="99"/>
    <w:unhideWhenUsed/>
    <w:rsid w:val="00E30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400905">
      <w:bodyDiv w:val="1"/>
      <w:marLeft w:val="0"/>
      <w:marRight w:val="0"/>
      <w:marTop w:val="0"/>
      <w:marBottom w:val="0"/>
      <w:divBdr>
        <w:top w:val="none" w:sz="0" w:space="0" w:color="auto"/>
        <w:left w:val="none" w:sz="0" w:space="0" w:color="auto"/>
        <w:bottom w:val="none" w:sz="0" w:space="0" w:color="auto"/>
        <w:right w:val="none" w:sz="0" w:space="0" w:color="auto"/>
      </w:divBdr>
    </w:div>
    <w:div w:id="1075083425">
      <w:bodyDiv w:val="1"/>
      <w:marLeft w:val="0"/>
      <w:marRight w:val="0"/>
      <w:marTop w:val="0"/>
      <w:marBottom w:val="0"/>
      <w:divBdr>
        <w:top w:val="none" w:sz="0" w:space="0" w:color="auto"/>
        <w:left w:val="none" w:sz="0" w:space="0" w:color="auto"/>
        <w:bottom w:val="none" w:sz="0" w:space="0" w:color="auto"/>
        <w:right w:val="none" w:sz="0" w:space="0" w:color="auto"/>
      </w:divBdr>
    </w:div>
    <w:div w:id="1301572457">
      <w:bodyDiv w:val="1"/>
      <w:marLeft w:val="0"/>
      <w:marRight w:val="0"/>
      <w:marTop w:val="0"/>
      <w:marBottom w:val="0"/>
      <w:divBdr>
        <w:top w:val="none" w:sz="0" w:space="0" w:color="auto"/>
        <w:left w:val="none" w:sz="0" w:space="0" w:color="auto"/>
        <w:bottom w:val="none" w:sz="0" w:space="0" w:color="auto"/>
        <w:right w:val="none" w:sz="0" w:space="0" w:color="auto"/>
      </w:divBdr>
    </w:div>
    <w:div w:id="1449278964">
      <w:bodyDiv w:val="1"/>
      <w:marLeft w:val="0"/>
      <w:marRight w:val="0"/>
      <w:marTop w:val="0"/>
      <w:marBottom w:val="0"/>
      <w:divBdr>
        <w:top w:val="none" w:sz="0" w:space="0" w:color="auto"/>
        <w:left w:val="none" w:sz="0" w:space="0" w:color="auto"/>
        <w:bottom w:val="none" w:sz="0" w:space="0" w:color="auto"/>
        <w:right w:val="none" w:sz="0" w:space="0" w:color="auto"/>
      </w:divBdr>
    </w:div>
    <w:div w:id="1856308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alert/organizational-changes-dshs" TargetMode="External"/><Relationship Id="rId13" Type="http://schemas.openxmlformats.org/officeDocument/2006/relationships/hyperlink" Target="https://www.ecfr.gov/current/title-45/part-1321/section-1321.27" TargetMode="External"/><Relationship Id="rId18" Type="http://schemas.openxmlformats.org/officeDocument/2006/relationships/hyperlink" Target="https://www.ecfr.gov/current/title-45/part-1324/subpart-B"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ecfr.gov/current/title-45/part-1324/subpart-C" TargetMode="External"/><Relationship Id="rId7" Type="http://schemas.openxmlformats.org/officeDocument/2006/relationships/hyperlink" Target="https://www.ecfr.gov/current/title-45/part-1321/section-1321.31" TargetMode="External"/><Relationship Id="rId12" Type="http://schemas.openxmlformats.org/officeDocument/2006/relationships/hyperlink" Target="https://www.ecfr.gov/current/title-45/part-1321/section-1321.87" TargetMode="External"/><Relationship Id="rId17" Type="http://schemas.openxmlformats.org/officeDocument/2006/relationships/hyperlink" Target="https://www.ecfr.gov/current/title-45/part-1321/section-1321.27"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ecfr.gov/current/title-45/part-1324/subpart-A" TargetMode="External"/><Relationship Id="rId20" Type="http://schemas.openxmlformats.org/officeDocument/2006/relationships/hyperlink" Target="https://www.ecfr.gov/current/title-45/part-1321/section-1321.2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urrent/title-45/part-1321/section-1321.3"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ecfr.gov/current/title-45/part-1321/section-1321.27"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ecfr.gov/current/title-45/part-1321/section-1321.3" TargetMode="External"/><Relationship Id="rId19" Type="http://schemas.openxmlformats.org/officeDocument/2006/relationships/hyperlink" Target="https://www.ecfr.gov/current/title-45/part-1321/section-1321.27" TargetMode="External"/><Relationship Id="rId4" Type="http://schemas.openxmlformats.org/officeDocument/2006/relationships/webSettings" Target="webSettings.xml"/><Relationship Id="rId9" Type="http://schemas.openxmlformats.org/officeDocument/2006/relationships/hyperlink" Target="https://www.ecfr.gov/current/title-45/part-1321/section-1321.27" TargetMode="External"/><Relationship Id="rId14" Type="http://schemas.openxmlformats.org/officeDocument/2006/relationships/hyperlink" Target="https://www.ecfr.gov/current/title-45/section-1321.87"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1603</TotalTime>
  <Pages>10</Pages>
  <Words>2781</Words>
  <Characters>15854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 Cameron  (DSHS/ALTSA/HCS)</dc:creator>
  <dc:description/>
  <cp:lastModifiedBy>Akita, Cameron  (DSHS/ALTSA/HCS)</cp:lastModifiedBy>
  <cp:revision>125</cp:revision>
  <dcterms:created xsi:type="dcterms:W3CDTF">2025-05-08T22:29:00Z</dcterms:created>
  <dcterms:modified xsi:type="dcterms:W3CDTF">2025-05-16T19:42:00Z</dcterms:modified>
</cp:coreProperties>
</file>