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4262F" w14:textId="77777777" w:rsidR="00FC0B26" w:rsidRDefault="00E67D35">
      <w:pPr>
        <w:pStyle w:val="Title"/>
      </w:pPr>
      <w:r>
        <w:t>WORKFORCE SOFTWARE HARDWARE PURCHASE AGREEMENT</w:t>
      </w:r>
    </w:p>
    <w:p w14:paraId="0BE1C9D1" w14:textId="15828409" w:rsidR="000F3287" w:rsidRDefault="00947733" w:rsidP="00D86B9E">
      <w:pPr>
        <w:pStyle w:val="BaseText"/>
        <w:jc w:val="both"/>
      </w:pPr>
      <w:r w:rsidRPr="00947733">
        <w:t xml:space="preserve">This Hardware Purchase Agreement (“Agreement”) is entered into by and between </w:t>
      </w:r>
      <w:r>
        <w:t>WorkForce Software, LLC</w:t>
      </w:r>
      <w:r w:rsidRPr="00CF27F1">
        <w:t xml:space="preserve">, </w:t>
      </w:r>
      <w:r w:rsidRPr="00947733">
        <w:t>38705 Seven Mile Road, Suite 300, Livonia, Michigan 48152 (“WFS”) and the “Customer” defined below.</w:t>
      </w:r>
    </w:p>
    <w:tbl>
      <w:tblPr>
        <w:tblW w:w="10080" w:type="dxa"/>
        <w:jc w:val="center"/>
        <w:tblLayout w:type="fixed"/>
        <w:tblCellMar>
          <w:top w:w="29" w:type="dxa"/>
          <w:left w:w="72" w:type="dxa"/>
          <w:bottom w:w="29" w:type="dxa"/>
          <w:right w:w="72" w:type="dxa"/>
        </w:tblCellMar>
        <w:tblLook w:val="01E0" w:firstRow="1" w:lastRow="1" w:firstColumn="1" w:lastColumn="1" w:noHBand="0" w:noVBand="0"/>
      </w:tblPr>
      <w:tblGrid>
        <w:gridCol w:w="2430"/>
        <w:gridCol w:w="7650"/>
      </w:tblGrid>
      <w:tr w:rsidR="000F3287" w:rsidRPr="00C35EA4" w14:paraId="59B6B2B9" w14:textId="77777777" w:rsidTr="00A50EA7">
        <w:trPr>
          <w:jc w:val="center"/>
        </w:trPr>
        <w:tc>
          <w:tcPr>
            <w:tcW w:w="2430" w:type="dxa"/>
          </w:tcPr>
          <w:p w14:paraId="1051522D" w14:textId="77777777" w:rsidR="000F3287" w:rsidRPr="00C35EA4" w:rsidRDefault="000F3287" w:rsidP="00A50EA7">
            <w:pPr>
              <w:pStyle w:val="TableText"/>
            </w:pPr>
            <w:r w:rsidRPr="00C35EA4">
              <w:t>Customer Name:</w:t>
            </w:r>
          </w:p>
        </w:tc>
        <w:tc>
          <w:tcPr>
            <w:tcW w:w="7650" w:type="dxa"/>
            <w:tcBorders>
              <w:bottom w:val="single" w:sz="4" w:space="0" w:color="auto"/>
            </w:tcBorders>
          </w:tcPr>
          <w:sdt>
            <w:sdtPr>
              <w:tag w:val="SCM_TERMSYNC_6abc0e59-b016-43e6-abb9-df2deba5a1b0"/>
              <w:id w:val="2000"/>
            </w:sdtPr>
            <w:sdtEndPr/>
            <w:sdtContent>
              <w:p w14:paraId="0D79C5B9" w14:textId="77777777" w:rsidR="00FC0B26" w:rsidRDefault="00E67D35">
                <w:pPr>
                  <w:pStyle w:val="TableText"/>
                </w:pPr>
                <w:r>
                  <w:t>State of Washington - Department of Social and Health Services</w:t>
                </w:r>
              </w:p>
            </w:sdtContent>
          </w:sdt>
        </w:tc>
      </w:tr>
      <w:tr w:rsidR="000F3287" w:rsidRPr="00C35EA4" w14:paraId="34A4B8AF" w14:textId="77777777" w:rsidTr="00A50EA7">
        <w:trPr>
          <w:jc w:val="center"/>
        </w:trPr>
        <w:tc>
          <w:tcPr>
            <w:tcW w:w="2430" w:type="dxa"/>
          </w:tcPr>
          <w:p w14:paraId="50F340F1" w14:textId="77777777" w:rsidR="000F3287" w:rsidRPr="00C35EA4" w:rsidRDefault="000F3287" w:rsidP="00A50EA7">
            <w:pPr>
              <w:pStyle w:val="TableText"/>
            </w:pPr>
            <w:r w:rsidRPr="00C35EA4">
              <w:t>Address:</w:t>
            </w:r>
          </w:p>
        </w:tc>
        <w:tc>
          <w:tcPr>
            <w:tcW w:w="7650" w:type="dxa"/>
            <w:tcBorders>
              <w:top w:val="single" w:sz="4" w:space="0" w:color="auto"/>
              <w:bottom w:val="single" w:sz="4" w:space="0" w:color="auto"/>
            </w:tcBorders>
            <w:vAlign w:val="bottom"/>
          </w:tcPr>
          <w:sdt>
            <w:sdtPr>
              <w:tag w:val="SCM_TERMSYNC_92dfd52a-9415-4c9d-a6d7-9b864120f59c"/>
              <w:id w:val="2001"/>
            </w:sdtPr>
            <w:sdtEndPr/>
            <w:sdtContent>
              <w:p w14:paraId="13A30C5F" w14:textId="77777777" w:rsidR="00FC0B26" w:rsidRDefault="00E67D35">
                <w:pPr>
                  <w:pStyle w:val="TableText"/>
                </w:pPr>
                <w:r>
                  <w:t>1115 Washington St SE</w:t>
                </w:r>
              </w:p>
            </w:sdtContent>
          </w:sdt>
          <w:p w14:paraId="2722D99D" w14:textId="77777777" w:rsidR="000F3287" w:rsidRPr="001E5F7E" w:rsidRDefault="00793FA8" w:rsidP="00A50EA7">
            <w:pPr>
              <w:pStyle w:val="TableText"/>
            </w:pPr>
            <w:sdt>
              <w:sdtPr>
                <w:tag w:val="SCM_TERMSYNC_75d08435-5c27-4fbf-9d3a-233446df5407"/>
                <w:id w:val="2002"/>
              </w:sdtPr>
              <w:sdtEndPr/>
              <w:sdtContent>
                <w:r w:rsidR="000F3287">
                  <w:t>Olympia</w:t>
                </w:r>
              </w:sdtContent>
            </w:sdt>
            <w:r w:rsidR="000F3287" w:rsidRPr="001E5F7E">
              <w:t xml:space="preserve">, </w:t>
            </w:r>
            <w:sdt>
              <w:sdtPr>
                <w:tag w:val="SCM_TERMSYNC_b27fbedd-09fd-4ecc-96a4-0a622f439a87"/>
                <w:id w:val="2003"/>
              </w:sdtPr>
              <w:sdtEndPr/>
              <w:sdtContent>
                <w:r w:rsidR="000F3287">
                  <w:t>WA</w:t>
                </w:r>
              </w:sdtContent>
            </w:sdt>
            <w:r w:rsidR="000F3287" w:rsidRPr="001E5F7E">
              <w:t xml:space="preserve"> </w:t>
            </w:r>
            <w:sdt>
              <w:sdtPr>
                <w:tag w:val="SCM_TERMSYNC_e81eaa7b-1b2c-4356-b6a8-6bcb3fdcdc4a"/>
                <w:id w:val="2004"/>
              </w:sdtPr>
              <w:sdtEndPr/>
              <w:sdtContent>
                <w:r w:rsidR="000F3287">
                  <w:t>98504-5842</w:t>
                </w:r>
              </w:sdtContent>
            </w:sdt>
          </w:p>
          <w:sdt>
            <w:sdtPr>
              <w:tag w:val="SCM_TERMSYNC_e8cddae9-53cf-4e7d-a447-9e410e8de7c7"/>
              <w:id w:val="2005"/>
            </w:sdtPr>
            <w:sdtEndPr/>
            <w:sdtContent>
              <w:p w14:paraId="711E5AE5" w14:textId="77777777" w:rsidR="00FC0B26" w:rsidRDefault="00E67D35">
                <w:pPr>
                  <w:pStyle w:val="TableText"/>
                  <w:rPr>
                    <w:u w:val="single"/>
                  </w:rPr>
                </w:pPr>
                <w:r>
                  <w:t>United States</w:t>
                </w:r>
              </w:p>
            </w:sdtContent>
          </w:sdt>
        </w:tc>
      </w:tr>
      <w:tr w:rsidR="000F3287" w:rsidRPr="00C35EA4" w14:paraId="739479DF" w14:textId="77777777" w:rsidTr="00A50EA7">
        <w:trPr>
          <w:jc w:val="center"/>
        </w:trPr>
        <w:tc>
          <w:tcPr>
            <w:tcW w:w="2430" w:type="dxa"/>
          </w:tcPr>
          <w:p w14:paraId="35DD46BD" w14:textId="77777777" w:rsidR="000F3287" w:rsidRPr="00C35EA4" w:rsidRDefault="000F3287" w:rsidP="00A50EA7">
            <w:pPr>
              <w:pStyle w:val="TableText"/>
            </w:pPr>
            <w:r w:rsidRPr="00C35EA4">
              <w:t>Effective Date:</w:t>
            </w:r>
          </w:p>
        </w:tc>
        <w:tc>
          <w:tcPr>
            <w:tcW w:w="7650" w:type="dxa"/>
            <w:tcBorders>
              <w:top w:val="single" w:sz="4" w:space="0" w:color="auto"/>
              <w:bottom w:val="single" w:sz="4" w:space="0" w:color="auto"/>
            </w:tcBorders>
          </w:tcPr>
          <w:p w14:paraId="04EF8380" w14:textId="3CDBD945" w:rsidR="000F3287" w:rsidRPr="00C35EA4" w:rsidRDefault="002340A5" w:rsidP="00A50EA7">
            <w:pPr>
              <w:pStyle w:val="TableText"/>
            </w:pPr>
            <w:r>
              <w:t>06/01/2024</w:t>
            </w:r>
          </w:p>
        </w:tc>
      </w:tr>
    </w:tbl>
    <w:p w14:paraId="13C92398" w14:textId="77777777" w:rsidR="00F95236" w:rsidRDefault="00F95236" w:rsidP="007F57A6">
      <w:pPr>
        <w:pStyle w:val="NoSpace"/>
      </w:pPr>
    </w:p>
    <w:p w14:paraId="26673179" w14:textId="2481AD7B" w:rsidR="00F95236" w:rsidRDefault="00F95236" w:rsidP="00F95236">
      <w:pPr>
        <w:pStyle w:val="BaseText"/>
        <w:jc w:val="both"/>
      </w:pPr>
      <w:r w:rsidRPr="00054AAB">
        <w:t>Customer shall purchase the following quantities of data collection equipment, badges, and related accessories (collectively the “</w:t>
      </w:r>
      <w:r>
        <w:t>Equipment</w:t>
      </w:r>
      <w:r w:rsidRPr="00054AAB">
        <w:t>” or “Hardware”)</w:t>
      </w:r>
      <w:r w:rsidR="006F63D2">
        <w:t>,</w:t>
      </w:r>
      <w:r w:rsidRPr="00054AAB">
        <w:t xml:space="preserve"> and a Support Plan for such Hardware from WFS:</w:t>
      </w:r>
    </w:p>
    <w:tbl>
      <w:tblPr>
        <w:tblStyle w:val="GridTable1Light-Accent1"/>
        <w:tblW w:w="4943" w:type="pct"/>
        <w:tblLayout w:type="fixed"/>
        <w:tblLook w:val="06E0" w:firstRow="1" w:lastRow="1" w:firstColumn="1" w:lastColumn="0" w:noHBand="1" w:noVBand="1"/>
      </w:tblPr>
      <w:tblGrid>
        <w:gridCol w:w="4232"/>
        <w:gridCol w:w="1080"/>
        <w:gridCol w:w="1799"/>
        <w:gridCol w:w="2132"/>
      </w:tblGrid>
      <w:tr w:rsidR="00511D44" w:rsidRPr="00054AAB" w14:paraId="1EF2316B" w14:textId="77777777" w:rsidTr="00F74EA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232" w:type="dxa"/>
            <w:vAlign w:val="bottom"/>
          </w:tcPr>
          <w:p w14:paraId="7BFF3D04" w14:textId="77777777" w:rsidR="00511D44" w:rsidRPr="00054AAB" w:rsidRDefault="00511D44" w:rsidP="007F57A6">
            <w:pPr>
              <w:pStyle w:val="TableText"/>
            </w:pPr>
            <w:r w:rsidRPr="00054AAB">
              <w:t>Description</w:t>
            </w:r>
          </w:p>
        </w:tc>
        <w:tc>
          <w:tcPr>
            <w:tcW w:w="1080" w:type="dxa"/>
            <w:vAlign w:val="bottom"/>
          </w:tcPr>
          <w:p w14:paraId="09D4CBBA" w14:textId="77777777" w:rsidR="00511D44" w:rsidRPr="00054AAB" w:rsidRDefault="00511D44" w:rsidP="007F57A6">
            <w:pPr>
              <w:pStyle w:val="TableText"/>
              <w:cnfStyle w:val="100000000000" w:firstRow="1" w:lastRow="0" w:firstColumn="0" w:lastColumn="0" w:oddVBand="0" w:evenVBand="0" w:oddHBand="0" w:evenHBand="0" w:firstRowFirstColumn="0" w:firstRowLastColumn="0" w:lastRowFirstColumn="0" w:lastRowLastColumn="0"/>
            </w:pPr>
            <w:r w:rsidRPr="00054AAB">
              <w:t>Qty</w:t>
            </w:r>
          </w:p>
        </w:tc>
        <w:tc>
          <w:tcPr>
            <w:tcW w:w="1800" w:type="dxa"/>
            <w:vAlign w:val="bottom"/>
          </w:tcPr>
          <w:p w14:paraId="4398490E" w14:textId="77777777" w:rsidR="00511D44" w:rsidRPr="00054AAB" w:rsidRDefault="00511D44" w:rsidP="007F57A6">
            <w:pPr>
              <w:pStyle w:val="TableText"/>
              <w:cnfStyle w:val="100000000000" w:firstRow="1" w:lastRow="0" w:firstColumn="0" w:lastColumn="0" w:oddVBand="0" w:evenVBand="0" w:oddHBand="0" w:evenHBand="0" w:firstRowFirstColumn="0" w:firstRowLastColumn="0" w:lastRowFirstColumn="0" w:lastRowLastColumn="0"/>
            </w:pPr>
            <w:r w:rsidRPr="00054AAB">
              <w:t>Unit Price</w:t>
            </w:r>
          </w:p>
        </w:tc>
        <w:tc>
          <w:tcPr>
            <w:tcW w:w="2131" w:type="dxa"/>
          </w:tcPr>
          <w:p w14:paraId="4437778D" w14:textId="365B2CF8" w:rsidR="00511D44" w:rsidRPr="00054AAB" w:rsidRDefault="00511D44" w:rsidP="007F57A6">
            <w:pPr>
              <w:pStyle w:val="TableText"/>
              <w:cnfStyle w:val="100000000000" w:firstRow="1" w:lastRow="0" w:firstColumn="0" w:lastColumn="0" w:oddVBand="0" w:evenVBand="0" w:oddHBand="0" w:evenHBand="0" w:firstRowFirstColumn="0" w:firstRowLastColumn="0" w:lastRowFirstColumn="0" w:lastRowLastColumn="0"/>
            </w:pPr>
            <w:r w:rsidRPr="00054AAB">
              <w:t>Extended</w:t>
            </w:r>
            <w:r>
              <w:t xml:space="preserve"> Amount</w:t>
            </w:r>
          </w:p>
        </w:tc>
      </w:tr>
      <w:tr w:rsidR="00F74EA5" w:rsidRPr="00054AAB" w14:paraId="40F5C249" w14:textId="77777777" w:rsidTr="00F74EA5">
        <w:trPr>
          <w:trHeight w:val="254"/>
        </w:trPr>
        <w:tc>
          <w:tcPr>
            <w:cnfStyle w:val="001000000000" w:firstRow="0" w:lastRow="0" w:firstColumn="1" w:lastColumn="0" w:oddVBand="0" w:evenVBand="0" w:oddHBand="0" w:evenHBand="0" w:firstRowFirstColumn="0" w:firstRowLastColumn="0" w:lastRowFirstColumn="0" w:lastRowLastColumn="0"/>
            <w:tcW w:w="9243" w:type="dxa"/>
            <w:gridSpan w:val="4"/>
            <w:shd w:val="clear" w:color="auto" w:fill="CAD2D8" w:themeFill="background2" w:themeFillShade="E6"/>
            <w:vAlign w:val="bottom"/>
          </w:tcPr>
          <w:p w14:paraId="1A942901" w14:textId="3EC820F6" w:rsidR="00F74EA5" w:rsidRPr="00054AAB" w:rsidRDefault="00F74EA5" w:rsidP="007F57A6">
            <w:pPr>
              <w:pStyle w:val="TableText"/>
            </w:pPr>
            <w:r>
              <w:t>Hardware Products</w:t>
            </w:r>
          </w:p>
        </w:tc>
      </w:tr>
      <w:tr w:rsidR="00511D44" w:rsidRPr="00054AAB" w14:paraId="0CB1AB7D" w14:textId="77777777" w:rsidTr="00F74EA5">
        <w:trPr>
          <w:trHeight w:val="254"/>
        </w:trPr>
        <w:tc>
          <w:tcPr>
            <w:cnfStyle w:val="001000000000" w:firstRow="0" w:lastRow="0" w:firstColumn="1" w:lastColumn="0" w:oddVBand="0" w:evenVBand="0" w:oddHBand="0" w:evenHBand="0" w:firstRowFirstColumn="0" w:firstRowLastColumn="0" w:lastRowFirstColumn="0" w:lastRowLastColumn="0"/>
            <w:tcW w:w="4232" w:type="dxa"/>
          </w:tcPr>
          <w:p w14:paraId="2DD95D58" w14:textId="77777777" w:rsidR="00511D44" w:rsidRPr="00AC6081" w:rsidRDefault="00793FA8" w:rsidP="007F57A6">
            <w:pPr>
              <w:pStyle w:val="TableText"/>
              <w:rPr>
                <w:b w:val="0"/>
                <w:bCs/>
              </w:rPr>
            </w:pPr>
            <w:sdt>
              <w:sdtPr>
                <w:tag w:val="SCM_TERMSYNC_792ccd1f-d6ca-4a6f-a62d-4715675f9a5f"/>
                <w:id w:val="2006"/>
              </w:sdtPr>
              <w:sdtEndPr/>
              <w:sdtContent>
                <w:r w:rsidR="00511D44">
                  <w:rPr>
                    <w:b w:val="0"/>
                    <w:bCs/>
                  </w:rPr>
                  <w:t xml:space="preserve">WFS 7100 + Battery + PoE + Barcode Reader + HID </w:t>
                </w:r>
                <w:proofErr w:type="spellStart"/>
                <w:r w:rsidR="00511D44">
                  <w:rPr>
                    <w:b w:val="0"/>
                    <w:bCs/>
                  </w:rPr>
                  <w:t>ProxPoint</w:t>
                </w:r>
                <w:proofErr w:type="spellEnd"/>
                <w:r w:rsidR="00511D44">
                  <w:rPr>
                    <w:b w:val="0"/>
                    <w:bCs/>
                  </w:rPr>
                  <w:t xml:space="preserve"> Reader (GT7031/4)</w:t>
                </w:r>
              </w:sdtContent>
            </w:sdt>
          </w:p>
        </w:tc>
        <w:tc>
          <w:tcPr>
            <w:tcW w:w="1080" w:type="dxa"/>
          </w:tcPr>
          <w:sdt>
            <w:sdtPr>
              <w:tag w:val="SCM_TERMSYNC_b33ac3ff-b83a-42ef-a0e3-18c541bb6e06"/>
              <w:id w:val="2007"/>
            </w:sdtPr>
            <w:sdtEndPr/>
            <w:sdtContent>
              <w:p w14:paraId="349200D9" w14:textId="77777777" w:rsidR="00FC0B26" w:rsidRDefault="00E67D35">
                <w:pPr>
                  <w:pStyle w:val="TableText"/>
                  <w:cnfStyle w:val="000000000000" w:firstRow="0" w:lastRow="0" w:firstColumn="0" w:lastColumn="0" w:oddVBand="0" w:evenVBand="0" w:oddHBand="0" w:evenHBand="0" w:firstRowFirstColumn="0" w:firstRowLastColumn="0" w:lastRowFirstColumn="0" w:lastRowLastColumn="0"/>
                  <w:rPr>
                    <w:b/>
                    <w:bCs w:val="0"/>
                  </w:rPr>
                </w:pPr>
                <w:r>
                  <w:t>100</w:t>
                </w:r>
              </w:p>
            </w:sdtContent>
          </w:sdt>
        </w:tc>
        <w:tc>
          <w:tcPr>
            <w:tcW w:w="1800" w:type="dxa"/>
          </w:tcPr>
          <w:p w14:paraId="29678D9F" w14:textId="487C8A11" w:rsidR="00511D44" w:rsidRPr="00AC6081" w:rsidRDefault="00793FA8" w:rsidP="007F57A6">
            <w:pPr>
              <w:pStyle w:val="TableText"/>
              <w:cnfStyle w:val="000000000000" w:firstRow="0" w:lastRow="0" w:firstColumn="0" w:lastColumn="0" w:oddVBand="0" w:evenVBand="0" w:oddHBand="0" w:evenHBand="0" w:firstRowFirstColumn="0" w:firstRowLastColumn="0" w:lastRowFirstColumn="0" w:lastRowLastColumn="0"/>
              <w:rPr>
                <w:b/>
                <w:bCs w:val="0"/>
              </w:rPr>
            </w:pPr>
            <w:sdt>
              <w:sdtPr>
                <w:tag w:val="SCM_TERMSYNC_5e1944dc-4140-4585-abf3-1e6335f06124"/>
                <w:id w:val="2008"/>
              </w:sdtPr>
              <w:sdtEndPr/>
              <w:sdtContent>
                <w:r w:rsidR="00912F9B">
                  <w:t>$</w:t>
                </w:r>
              </w:sdtContent>
            </w:sdt>
            <w:sdt>
              <w:sdtPr>
                <w:tag w:val="SCM_TERMSYNC_e4a11abc-8928-4abc-a16b-a6fa386c6953"/>
                <w:id w:val="2009"/>
              </w:sdtPr>
              <w:sdtEndPr/>
              <w:sdtContent>
                <w:r w:rsidR="00912F9B">
                  <w:t>2,356.20</w:t>
                </w:r>
              </w:sdtContent>
            </w:sdt>
          </w:p>
        </w:tc>
        <w:tc>
          <w:tcPr>
            <w:tcW w:w="2131" w:type="dxa"/>
          </w:tcPr>
          <w:p w14:paraId="04B0C63C" w14:textId="36A5B9A0" w:rsidR="00511D44" w:rsidRPr="00AC6081" w:rsidRDefault="00793FA8" w:rsidP="007F57A6">
            <w:pPr>
              <w:pStyle w:val="TableText"/>
              <w:cnfStyle w:val="000000000000" w:firstRow="0" w:lastRow="0" w:firstColumn="0" w:lastColumn="0" w:oddVBand="0" w:evenVBand="0" w:oddHBand="0" w:evenHBand="0" w:firstRowFirstColumn="0" w:firstRowLastColumn="0" w:lastRowFirstColumn="0" w:lastRowLastColumn="0"/>
            </w:pPr>
            <w:sdt>
              <w:sdtPr>
                <w:tag w:val="SCM_TERMSYNC_bdba4e4d-f282-489c-9d56-f9c2f16aa6f6"/>
                <w:id w:val="2010"/>
              </w:sdtPr>
              <w:sdtEndPr/>
              <w:sdtContent>
                <w:r w:rsidR="00912F9B">
                  <w:t>$</w:t>
                </w:r>
              </w:sdtContent>
            </w:sdt>
            <w:sdt>
              <w:sdtPr>
                <w:tag w:val="SCM_TERMSYNC_7c41532c-4e3f-4d1c-9c36-231a5c3c0648"/>
                <w:id w:val="2011"/>
              </w:sdtPr>
              <w:sdtEndPr/>
              <w:sdtContent>
                <w:r w:rsidR="00912F9B">
                  <w:t>235,620.00</w:t>
                </w:r>
              </w:sdtContent>
            </w:sdt>
          </w:p>
        </w:tc>
      </w:tr>
      <w:tr w:rsidR="009F746E" w:rsidRPr="00054AAB" w14:paraId="202238BB" w14:textId="77777777" w:rsidTr="009F746E">
        <w:trPr>
          <w:trHeight w:val="254"/>
        </w:trPr>
        <w:tc>
          <w:tcPr>
            <w:cnfStyle w:val="001000000000" w:firstRow="0" w:lastRow="0" w:firstColumn="1" w:lastColumn="0" w:oddVBand="0" w:evenVBand="0" w:oddHBand="0" w:evenHBand="0" w:firstRowFirstColumn="0" w:firstRowLastColumn="0" w:lastRowFirstColumn="0" w:lastRowLastColumn="0"/>
            <w:tcW w:w="9238" w:type="dxa"/>
            <w:gridSpan w:val="4"/>
            <w:shd w:val="clear" w:color="auto" w:fill="CAD2D8" w:themeFill="background2" w:themeFillShade="E6"/>
          </w:tcPr>
          <w:p w14:paraId="6973F245" w14:textId="1AE03255" w:rsidR="009F746E" w:rsidRPr="00C90108" w:rsidRDefault="009F746E" w:rsidP="007F57A6">
            <w:pPr>
              <w:pStyle w:val="TableText"/>
            </w:pPr>
            <w:r w:rsidRPr="00C90108">
              <w:t>Support Plan</w:t>
            </w:r>
          </w:p>
        </w:tc>
      </w:tr>
      <w:tr w:rsidR="003C07C0" w:rsidRPr="00054AAB" w14:paraId="7FFE1799" w14:textId="77777777" w:rsidTr="00F74EA5">
        <w:trPr>
          <w:trHeight w:val="254"/>
        </w:trPr>
        <w:tc>
          <w:tcPr>
            <w:cnfStyle w:val="001000000000" w:firstRow="0" w:lastRow="0" w:firstColumn="1" w:lastColumn="0" w:oddVBand="0" w:evenVBand="0" w:oddHBand="0" w:evenHBand="0" w:firstRowFirstColumn="0" w:firstRowLastColumn="0" w:lastRowFirstColumn="0" w:lastRowLastColumn="0"/>
            <w:tcW w:w="4225" w:type="dxa"/>
          </w:tcPr>
          <w:p w14:paraId="29A52111" w14:textId="77777777" w:rsidR="00AF4DA6" w:rsidRPr="00C90108" w:rsidRDefault="00793FA8" w:rsidP="007F57A6">
            <w:pPr>
              <w:pStyle w:val="TableText"/>
              <w:rPr>
                <w:b w:val="0"/>
                <w:bCs/>
              </w:rPr>
            </w:pPr>
            <w:sdt>
              <w:sdtPr>
                <w:tag w:val="SCM_TERMSYNC_2201feb4-c64c-4c86-b305-9979fb08bceb"/>
                <w:id w:val="2012"/>
              </w:sdtPr>
              <w:sdtEndPr/>
              <w:sdtContent>
                <w:r w:rsidR="00AF4DA6">
                  <w:rPr>
                    <w:b w:val="0"/>
                    <w:bCs/>
                  </w:rPr>
                  <w:t>Premium Hardware Support</w:t>
                </w:r>
              </w:sdtContent>
            </w:sdt>
          </w:p>
        </w:tc>
        <w:tc>
          <w:tcPr>
            <w:tcW w:w="1080" w:type="dxa"/>
          </w:tcPr>
          <w:sdt>
            <w:sdtPr>
              <w:tag w:val="SCM_TERMSYNC_45707b48-1e74-4494-9f22-ab9abfe6650f"/>
              <w:id w:val="2013"/>
            </w:sdtPr>
            <w:sdtEndPr/>
            <w:sdtContent>
              <w:p w14:paraId="60374FD5" w14:textId="77777777" w:rsidR="00FC0B26" w:rsidRDefault="00E67D35">
                <w:pPr>
                  <w:pStyle w:val="TableText"/>
                  <w:cnfStyle w:val="000000000000" w:firstRow="0" w:lastRow="0" w:firstColumn="0" w:lastColumn="0" w:oddVBand="0" w:evenVBand="0" w:oddHBand="0" w:evenHBand="0" w:firstRowFirstColumn="0" w:firstRowLastColumn="0" w:lastRowFirstColumn="0" w:lastRowLastColumn="0"/>
                </w:pPr>
                <w:r>
                  <w:t>1</w:t>
                </w:r>
              </w:p>
            </w:sdtContent>
          </w:sdt>
        </w:tc>
        <w:tc>
          <w:tcPr>
            <w:tcW w:w="1800" w:type="dxa"/>
          </w:tcPr>
          <w:p w14:paraId="71DC187F" w14:textId="3FE4269C" w:rsidR="00AF4DA6" w:rsidRPr="00C90108" w:rsidRDefault="00793FA8" w:rsidP="007F57A6">
            <w:pPr>
              <w:pStyle w:val="TableText"/>
              <w:cnfStyle w:val="000000000000" w:firstRow="0" w:lastRow="0" w:firstColumn="0" w:lastColumn="0" w:oddVBand="0" w:evenVBand="0" w:oddHBand="0" w:evenHBand="0" w:firstRowFirstColumn="0" w:firstRowLastColumn="0" w:lastRowFirstColumn="0" w:lastRowLastColumn="0"/>
            </w:pPr>
            <w:sdt>
              <w:sdtPr>
                <w:tag w:val="SCM_TERMSYNC_b3246a49-8205-45b5-aae1-68412074bcd1"/>
                <w:id w:val="2014"/>
              </w:sdtPr>
              <w:sdtEndPr/>
              <w:sdtContent>
                <w:r w:rsidR="003B13F2">
                  <w:t>$</w:t>
                </w:r>
              </w:sdtContent>
            </w:sdt>
            <w:sdt>
              <w:sdtPr>
                <w:tag w:val="SCM_TERMSYNC_f632e7bf-b218-420f-b2b4-02326bab83a8"/>
                <w:id w:val="2015"/>
              </w:sdtPr>
              <w:sdtEndPr/>
              <w:sdtContent>
                <w:r w:rsidR="003B13F2">
                  <w:t>30,631.00</w:t>
                </w:r>
              </w:sdtContent>
            </w:sdt>
          </w:p>
        </w:tc>
        <w:tc>
          <w:tcPr>
            <w:tcW w:w="2133" w:type="dxa"/>
          </w:tcPr>
          <w:p w14:paraId="23A4AFEF" w14:textId="5790DE5D" w:rsidR="00AF4DA6" w:rsidRPr="00C90108" w:rsidRDefault="00793FA8" w:rsidP="007F57A6">
            <w:pPr>
              <w:pStyle w:val="TableText"/>
              <w:cnfStyle w:val="000000000000" w:firstRow="0" w:lastRow="0" w:firstColumn="0" w:lastColumn="0" w:oddVBand="0" w:evenVBand="0" w:oddHBand="0" w:evenHBand="0" w:firstRowFirstColumn="0" w:firstRowLastColumn="0" w:lastRowFirstColumn="0" w:lastRowLastColumn="0"/>
            </w:pPr>
            <w:sdt>
              <w:sdtPr>
                <w:tag w:val="SCM_TERMSYNC_66013e5c-acb4-4ccb-a9cc-cfda75c86a59"/>
                <w:id w:val="2016"/>
              </w:sdtPr>
              <w:sdtEndPr/>
              <w:sdtContent>
                <w:r w:rsidR="003B13F2">
                  <w:t>$</w:t>
                </w:r>
              </w:sdtContent>
            </w:sdt>
            <w:sdt>
              <w:sdtPr>
                <w:tag w:val="SCM_TERMSYNC_9721d27e-efec-4df3-af0d-19809d2b1ea3"/>
                <w:id w:val="2017"/>
              </w:sdtPr>
              <w:sdtEndPr/>
              <w:sdtContent>
                <w:r w:rsidR="003B13F2">
                  <w:t>30,631.00</w:t>
                </w:r>
              </w:sdtContent>
            </w:sdt>
          </w:p>
        </w:tc>
      </w:tr>
      <w:tr w:rsidR="003C07C0" w:rsidRPr="00054AAB" w14:paraId="48E80737" w14:textId="77777777" w:rsidTr="009C10AA">
        <w:trPr>
          <w:trHeight w:val="254"/>
        </w:trPr>
        <w:tc>
          <w:tcPr>
            <w:cnfStyle w:val="001000000000" w:firstRow="0" w:lastRow="0" w:firstColumn="1" w:lastColumn="0" w:oddVBand="0" w:evenVBand="0" w:oddHBand="0" w:evenHBand="0" w:firstRowFirstColumn="0" w:firstRowLastColumn="0" w:lastRowFirstColumn="0" w:lastRowLastColumn="0"/>
            <w:tcW w:w="9238" w:type="dxa"/>
            <w:gridSpan w:val="4"/>
          </w:tcPr>
          <w:p w14:paraId="2994B4C7" w14:textId="21B797B0" w:rsidR="003C07C0" w:rsidRPr="002519F3" w:rsidRDefault="003C07C0" w:rsidP="007F57A6">
            <w:pPr>
              <w:pStyle w:val="TableText"/>
            </w:pPr>
            <w:r w:rsidRPr="008D3705">
              <w:t>Support Term</w:t>
            </w:r>
            <w:r>
              <w:t xml:space="preserve">: </w:t>
            </w:r>
            <w:r w:rsidRPr="008D3705">
              <w:rPr>
                <w:b w:val="0"/>
                <w:bCs/>
              </w:rPr>
              <w:t xml:space="preserve"> </w:t>
            </w:r>
            <w:sdt>
              <w:sdtPr>
                <w:tag w:val="SCM_TERMSYNC_ef308c84-063a-4a72-9a84-d5e2b7766d09"/>
                <w:id w:val="2018"/>
              </w:sdtPr>
              <w:sdtEndPr/>
              <w:sdtContent>
                <w:r>
                  <w:rPr>
                    <w:b w:val="0"/>
                    <w:bCs/>
                  </w:rPr>
                  <w:t>Ju</w:t>
                </w:r>
                <w:r w:rsidR="00E67D35">
                  <w:rPr>
                    <w:b w:val="0"/>
                    <w:bCs/>
                  </w:rPr>
                  <w:t>ne</w:t>
                </w:r>
                <w:r>
                  <w:rPr>
                    <w:b w:val="0"/>
                    <w:bCs/>
                  </w:rPr>
                  <w:t xml:space="preserve"> 1, 2024</w:t>
                </w:r>
              </w:sdtContent>
            </w:sdt>
            <w:r w:rsidRPr="00884687">
              <w:rPr>
                <w:b w:val="0"/>
                <w:bCs/>
              </w:rPr>
              <w:t xml:space="preserve"> to </w:t>
            </w:r>
            <w:sdt>
              <w:sdtPr>
                <w:tag w:val="SCM_TERMSYNC_03e2e6af-cb12-475a-bfb9-c397dd00c55e"/>
                <w:id w:val="2019"/>
              </w:sdtPr>
              <w:sdtEndPr/>
              <w:sdtContent>
                <w:r w:rsidR="00E67D35">
                  <w:rPr>
                    <w:b w:val="0"/>
                    <w:bCs/>
                  </w:rPr>
                  <w:t>May 31</w:t>
                </w:r>
                <w:r>
                  <w:rPr>
                    <w:b w:val="0"/>
                    <w:bCs/>
                  </w:rPr>
                  <w:t>, 2025</w:t>
                </w:r>
              </w:sdtContent>
            </w:sdt>
            <w:r w:rsidRPr="00884687">
              <w:rPr>
                <w:b w:val="0"/>
                <w:bCs/>
              </w:rPr>
              <w:t xml:space="preserve"> (Invoiced </w:t>
            </w:r>
            <w:sdt>
              <w:sdtPr>
                <w:tag w:val="SCM_TERMSYNC_d9e932a1-49a6-4758-822f-605dc060586d"/>
                <w:id w:val="2020"/>
              </w:sdtPr>
              <w:sdtEndPr/>
              <w:sdtContent>
                <w:r>
                  <w:rPr>
                    <w:b w:val="0"/>
                    <w:bCs/>
                  </w:rPr>
                  <w:t>Annually</w:t>
                </w:r>
              </w:sdtContent>
            </w:sdt>
            <w:r w:rsidRPr="00C90108">
              <w:rPr>
                <w:b w:val="0"/>
                <w:bCs/>
              </w:rPr>
              <w:t xml:space="preserve"> in Advance)</w:t>
            </w:r>
          </w:p>
        </w:tc>
      </w:tr>
      <w:tr w:rsidR="009A20AC" w:rsidRPr="00053FCB" w14:paraId="3D0664E7" w14:textId="77777777" w:rsidTr="00F74EA5">
        <w:trPr>
          <w:trHeight w:val="247"/>
        </w:trPr>
        <w:tc>
          <w:tcPr>
            <w:cnfStyle w:val="001000000000" w:firstRow="0" w:lastRow="0" w:firstColumn="1" w:lastColumn="0" w:oddVBand="0" w:evenVBand="0" w:oddHBand="0" w:evenHBand="0" w:firstRowFirstColumn="0" w:firstRowLastColumn="0" w:lastRowFirstColumn="0" w:lastRowLastColumn="0"/>
            <w:tcW w:w="4233" w:type="dxa"/>
            <w:tcBorders>
              <w:top w:val="double" w:sz="4" w:space="0" w:color="81C4F0" w:themeColor="accent1" w:themeTint="66"/>
            </w:tcBorders>
          </w:tcPr>
          <w:p w14:paraId="42007BDA" w14:textId="77777777" w:rsidR="00912FF1" w:rsidRPr="00053FCB" w:rsidRDefault="00912FF1" w:rsidP="007F57A6">
            <w:pPr>
              <w:pStyle w:val="TableText"/>
              <w:rPr>
                <w:highlight w:val="yellow"/>
              </w:rPr>
            </w:pPr>
            <w:r w:rsidRPr="00053FCB">
              <w:t>AMOUNT DUE – Year 1</w:t>
            </w:r>
          </w:p>
        </w:tc>
        <w:tc>
          <w:tcPr>
            <w:tcW w:w="1080" w:type="dxa"/>
            <w:tcBorders>
              <w:top w:val="double" w:sz="4" w:space="0" w:color="81C4F0" w:themeColor="accent1" w:themeTint="66"/>
            </w:tcBorders>
          </w:tcPr>
          <w:p w14:paraId="279C2726" w14:textId="77777777" w:rsidR="00912FF1" w:rsidRPr="00053FCB" w:rsidRDefault="00912FF1" w:rsidP="007F57A6">
            <w:pPr>
              <w:pStyle w:val="TableText"/>
              <w:cnfStyle w:val="000000000000" w:firstRow="0" w:lastRow="0" w:firstColumn="0" w:lastColumn="0" w:oddVBand="0" w:evenVBand="0" w:oddHBand="0" w:evenHBand="0" w:firstRowFirstColumn="0" w:firstRowLastColumn="0" w:lastRowFirstColumn="0" w:lastRowLastColumn="0"/>
              <w:rPr>
                <w:highlight w:val="yellow"/>
              </w:rPr>
            </w:pPr>
          </w:p>
        </w:tc>
        <w:tc>
          <w:tcPr>
            <w:tcW w:w="1800" w:type="dxa"/>
            <w:tcBorders>
              <w:top w:val="double" w:sz="4" w:space="0" w:color="81C4F0" w:themeColor="accent1" w:themeTint="66"/>
            </w:tcBorders>
          </w:tcPr>
          <w:p w14:paraId="1DE8DF5E" w14:textId="77777777" w:rsidR="00912FF1" w:rsidRPr="00053FCB" w:rsidRDefault="00912FF1" w:rsidP="007F57A6">
            <w:pPr>
              <w:pStyle w:val="TableText"/>
              <w:cnfStyle w:val="000000000000" w:firstRow="0" w:lastRow="0" w:firstColumn="0" w:lastColumn="0" w:oddVBand="0" w:evenVBand="0" w:oddHBand="0" w:evenHBand="0" w:firstRowFirstColumn="0" w:firstRowLastColumn="0" w:lastRowFirstColumn="0" w:lastRowLastColumn="0"/>
            </w:pPr>
          </w:p>
        </w:tc>
        <w:tc>
          <w:tcPr>
            <w:tcW w:w="2131" w:type="dxa"/>
            <w:tcBorders>
              <w:top w:val="double" w:sz="4" w:space="0" w:color="81C4F0" w:themeColor="accent1" w:themeTint="66"/>
            </w:tcBorders>
          </w:tcPr>
          <w:p w14:paraId="2A4BE7BF" w14:textId="7DFE3FF7" w:rsidR="00912FF1" w:rsidRPr="00053FCB" w:rsidRDefault="00793FA8" w:rsidP="007F57A6">
            <w:pPr>
              <w:pStyle w:val="TableText"/>
              <w:cnfStyle w:val="000000000000" w:firstRow="0" w:lastRow="0" w:firstColumn="0" w:lastColumn="0" w:oddVBand="0" w:evenVBand="0" w:oddHBand="0" w:evenHBand="0" w:firstRowFirstColumn="0" w:firstRowLastColumn="0" w:lastRowFirstColumn="0" w:lastRowLastColumn="0"/>
              <w:rPr>
                <w:highlight w:val="yellow"/>
              </w:rPr>
            </w:pPr>
            <w:sdt>
              <w:sdtPr>
                <w:tag w:val="SCM_TERMSYNC_575473ce-f1fe-48aa-bc68-3abe246df06e"/>
                <w:id w:val="2021"/>
              </w:sdtPr>
              <w:sdtEndPr/>
              <w:sdtContent>
                <w:r w:rsidR="00912FF1">
                  <w:t>$</w:t>
                </w:r>
              </w:sdtContent>
            </w:sdt>
            <w:sdt>
              <w:sdtPr>
                <w:tag w:val="SCM_TERMSYNC_483d178b-fec4-4277-9b28-b9fa114b119e"/>
                <w:id w:val="2022"/>
              </w:sdtPr>
              <w:sdtEndPr/>
              <w:sdtContent>
                <w:r w:rsidR="00912FF1">
                  <w:t>266,251.00</w:t>
                </w:r>
              </w:sdtContent>
            </w:sdt>
          </w:p>
        </w:tc>
      </w:tr>
      <w:tr w:rsidR="003C6E77" w:rsidRPr="002519F3" w14:paraId="69D2F04E" w14:textId="77777777" w:rsidTr="00F74EA5">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233" w:type="dxa"/>
            <w:tcBorders>
              <w:top w:val="double" w:sz="4" w:space="0" w:color="81C4F0" w:themeColor="accent1" w:themeTint="66"/>
            </w:tcBorders>
          </w:tcPr>
          <w:p w14:paraId="735E0490" w14:textId="77777777" w:rsidR="00A90306" w:rsidRPr="00054AAB" w:rsidRDefault="00A90306" w:rsidP="007F57A6">
            <w:pPr>
              <w:pStyle w:val="TableText"/>
              <w:rPr>
                <w:highlight w:val="yellow"/>
              </w:rPr>
            </w:pPr>
            <w:r w:rsidRPr="00054AAB">
              <w:t>Total Amount Due</w:t>
            </w:r>
          </w:p>
        </w:tc>
        <w:tc>
          <w:tcPr>
            <w:tcW w:w="1080" w:type="dxa"/>
            <w:tcBorders>
              <w:top w:val="double" w:sz="4" w:space="0" w:color="81C4F0" w:themeColor="accent1" w:themeTint="66"/>
            </w:tcBorders>
          </w:tcPr>
          <w:p w14:paraId="78E1FCD3" w14:textId="77777777" w:rsidR="00A90306" w:rsidRPr="00054AAB" w:rsidRDefault="00A90306" w:rsidP="007F57A6">
            <w:pPr>
              <w:pStyle w:val="TableText"/>
              <w:cnfStyle w:val="010000000000" w:firstRow="0" w:lastRow="1" w:firstColumn="0" w:lastColumn="0" w:oddVBand="0" w:evenVBand="0" w:oddHBand="0" w:evenHBand="0" w:firstRowFirstColumn="0" w:firstRowLastColumn="0" w:lastRowFirstColumn="0" w:lastRowLastColumn="0"/>
              <w:rPr>
                <w:highlight w:val="yellow"/>
              </w:rPr>
            </w:pPr>
          </w:p>
        </w:tc>
        <w:tc>
          <w:tcPr>
            <w:tcW w:w="1800" w:type="dxa"/>
            <w:tcBorders>
              <w:top w:val="double" w:sz="4" w:space="0" w:color="81C4F0" w:themeColor="accent1" w:themeTint="66"/>
            </w:tcBorders>
          </w:tcPr>
          <w:p w14:paraId="10AD15E1" w14:textId="16A91ACF" w:rsidR="00A90306" w:rsidRPr="00E53C46" w:rsidRDefault="00C5440A" w:rsidP="007F57A6">
            <w:pPr>
              <w:pStyle w:val="TableText"/>
              <w:cnfStyle w:val="010000000000" w:firstRow="0" w:lastRow="1" w:firstColumn="0" w:lastColumn="0" w:oddVBand="0" w:evenVBand="0" w:oddHBand="0" w:evenHBand="0" w:firstRowFirstColumn="0" w:firstRowLastColumn="0" w:lastRowFirstColumn="0" w:lastRowLastColumn="0"/>
            </w:pPr>
            <w:r w:rsidRPr="00E53C46">
              <w:t xml:space="preserve">Currency: </w:t>
            </w:r>
            <w:sdt>
              <w:sdtPr>
                <w:tag w:val="SCM_TERMSYNC_a41b169b-586a-4a06-b1dd-7e69488aa73d"/>
                <w:id w:val="2023"/>
              </w:sdtPr>
              <w:sdtEndPr/>
              <w:sdtContent>
                <w:r>
                  <w:rPr>
                    <w:b w:val="0"/>
                    <w:bCs/>
                  </w:rPr>
                  <w:t>USD</w:t>
                </w:r>
              </w:sdtContent>
            </w:sdt>
          </w:p>
        </w:tc>
        <w:tc>
          <w:tcPr>
            <w:tcW w:w="2131" w:type="dxa"/>
            <w:tcBorders>
              <w:top w:val="double" w:sz="4" w:space="0" w:color="81C4F0" w:themeColor="accent1" w:themeTint="66"/>
            </w:tcBorders>
          </w:tcPr>
          <w:p w14:paraId="5B2D0984" w14:textId="77777777" w:rsidR="00A90306" w:rsidRPr="00E53C46" w:rsidRDefault="00793FA8" w:rsidP="007F57A6">
            <w:pPr>
              <w:pStyle w:val="TableText"/>
              <w:cnfStyle w:val="010000000000" w:firstRow="0" w:lastRow="1" w:firstColumn="0" w:lastColumn="0" w:oddVBand="0" w:evenVBand="0" w:oddHBand="0" w:evenHBand="0" w:firstRowFirstColumn="0" w:firstRowLastColumn="0" w:lastRowFirstColumn="0" w:lastRowLastColumn="0"/>
            </w:pPr>
            <w:sdt>
              <w:sdtPr>
                <w:tag w:val="SCM_TERMSYNC_29d4f062-705d-45d5-a5e8-0aeabbe8a651"/>
                <w:id w:val="2024"/>
              </w:sdtPr>
              <w:sdtEndPr/>
              <w:sdtContent>
                <w:r w:rsidR="00A90306">
                  <w:t>$</w:t>
                </w:r>
              </w:sdtContent>
            </w:sdt>
            <w:sdt>
              <w:sdtPr>
                <w:tag w:val="SCM_TERMSYNC_89945538-a45b-4e75-b87f-a67a99f6a050"/>
                <w:id w:val="2025"/>
              </w:sdtPr>
              <w:sdtEndPr/>
              <w:sdtContent>
                <w:r w:rsidR="00A90306">
                  <w:t>266,251.00</w:t>
                </w:r>
              </w:sdtContent>
            </w:sdt>
          </w:p>
        </w:tc>
      </w:tr>
    </w:tbl>
    <w:p w14:paraId="66E5B364" w14:textId="77777777" w:rsidR="003A645B" w:rsidRDefault="003A645B" w:rsidP="008106E9">
      <w:pPr>
        <w:pStyle w:val="TableText"/>
      </w:pPr>
    </w:p>
    <w:tbl>
      <w:tblPr>
        <w:tblStyle w:val="TableGrid"/>
        <w:tblW w:w="0" w:type="auto"/>
        <w:tblLayout w:type="fixed"/>
        <w:tblLook w:val="04A0" w:firstRow="1" w:lastRow="0" w:firstColumn="1" w:lastColumn="0" w:noHBand="0" w:noVBand="1"/>
      </w:tblPr>
      <w:tblGrid>
        <w:gridCol w:w="9245"/>
      </w:tblGrid>
      <w:tr w:rsidR="00FF01DD" w14:paraId="5DB9E571" w14:textId="77777777" w:rsidTr="00FF635E">
        <w:trPr>
          <w:cantSplit/>
        </w:trPr>
        <w:tc>
          <w:tcPr>
            <w:tcW w:w="9245" w:type="dxa"/>
            <w:tcBorders>
              <w:top w:val="single" w:sz="4" w:space="0" w:color="81C4F0" w:themeColor="accent1" w:themeTint="66"/>
              <w:left w:val="single" w:sz="4" w:space="0" w:color="81C4F0" w:themeColor="accent1" w:themeTint="66"/>
              <w:bottom w:val="single" w:sz="18" w:space="0" w:color="81C4F0" w:themeColor="accent1" w:themeTint="66"/>
              <w:right w:val="single" w:sz="4" w:space="0" w:color="81C4F0" w:themeColor="accent1" w:themeTint="66"/>
            </w:tcBorders>
            <w:shd w:val="clear" w:color="auto" w:fill="CAD2D8" w:themeFill="background2" w:themeFillShade="E6"/>
          </w:tcPr>
          <w:p w14:paraId="18D92700" w14:textId="50D06108" w:rsidR="00FF01DD" w:rsidRPr="00AA4917" w:rsidRDefault="00C76E85" w:rsidP="003A645B">
            <w:pPr>
              <w:pStyle w:val="BaseText"/>
              <w:keepNext/>
              <w:keepLines/>
              <w:spacing w:before="0" w:after="0"/>
              <w:jc w:val="both"/>
              <w:rPr>
                <w:rFonts w:asciiTheme="majorHAnsi" w:hAnsiTheme="majorHAnsi" w:cstheme="majorHAnsi"/>
                <w:b/>
                <w:bCs/>
              </w:rPr>
            </w:pPr>
            <w:r w:rsidRPr="009E658B">
              <w:rPr>
                <w:rFonts w:asciiTheme="majorHAnsi" w:hAnsiTheme="majorHAnsi" w:cstheme="majorHAnsi"/>
                <w:b/>
                <w:bCs/>
              </w:rPr>
              <w:t>Clock Delivery Info</w:t>
            </w:r>
          </w:p>
        </w:tc>
      </w:tr>
      <w:tr w:rsidR="00FF01DD" w14:paraId="149EC47F" w14:textId="77777777" w:rsidTr="00F675EF">
        <w:tc>
          <w:tcPr>
            <w:tcW w:w="9245" w:type="dxa"/>
            <w:tcBorders>
              <w:top w:val="single" w:sz="18" w:space="0" w:color="81C4F0" w:themeColor="accent1" w:themeTint="66"/>
              <w:left w:val="single" w:sz="4" w:space="0" w:color="81C4F0" w:themeColor="accent1" w:themeTint="66"/>
              <w:bottom w:val="single" w:sz="4" w:space="0" w:color="81C4F0" w:themeColor="accent1" w:themeTint="66"/>
              <w:right w:val="single" w:sz="4" w:space="0" w:color="81C4F0" w:themeColor="accent1" w:themeTint="66"/>
            </w:tcBorders>
          </w:tcPr>
          <w:p w14:paraId="44FE97C3" w14:textId="77777777" w:rsidR="00FC0B26" w:rsidRDefault="00E67D35">
            <w:r>
              <w:t>Contact Name:</w:t>
            </w:r>
          </w:p>
          <w:p w14:paraId="7610F791" w14:textId="77777777" w:rsidR="00FC0B26" w:rsidRDefault="00E67D35">
            <w:r>
              <w:t>Contact Phone:</w:t>
            </w:r>
          </w:p>
          <w:p w14:paraId="03F66CD1" w14:textId="77777777" w:rsidR="00FC0B26" w:rsidRDefault="00E67D35">
            <w:r>
              <w:t>Delivery Address:</w:t>
            </w:r>
          </w:p>
        </w:tc>
      </w:tr>
    </w:tbl>
    <w:p w14:paraId="7B70C935" w14:textId="77777777" w:rsidR="001C465B" w:rsidRDefault="001C465B" w:rsidP="00C11954">
      <w:pPr>
        <w:pStyle w:val="BaseText"/>
        <w:spacing w:before="0" w:after="0"/>
        <w:jc w:val="both"/>
      </w:pPr>
    </w:p>
    <w:p w14:paraId="445309D6" w14:textId="6BA09134" w:rsidR="00FF674D" w:rsidRDefault="00FF674D" w:rsidP="00FF674D">
      <w:pPr>
        <w:pStyle w:val="2Heading"/>
      </w:pPr>
      <w:r w:rsidRPr="00785ACF">
        <w:t>HARDWARE PURCHASE TERMS</w:t>
      </w:r>
    </w:p>
    <w:p w14:paraId="40AD3E12" w14:textId="3496D234" w:rsidR="00FF674D" w:rsidRDefault="00FF674D" w:rsidP="00FF674D">
      <w:pPr>
        <w:pStyle w:val="ListNumbered"/>
        <w:numPr>
          <w:ilvl w:val="0"/>
          <w:numId w:val="32"/>
        </w:numPr>
        <w:spacing w:after="120" w:line="240" w:lineRule="auto"/>
        <w:jc w:val="both"/>
      </w:pPr>
      <w:r w:rsidRPr="00112806">
        <w:rPr>
          <w:rStyle w:val="Ch-Bold"/>
        </w:rPr>
        <w:lastRenderedPageBreak/>
        <w:t>The Hardware.</w:t>
      </w:r>
      <w:r w:rsidR="00C46870">
        <w:t xml:space="preserve"> </w:t>
      </w:r>
      <w:r w:rsidRPr="00112806">
        <w:t xml:space="preserve">Payment for the above amounts </w:t>
      </w:r>
      <w:proofErr w:type="gramStart"/>
      <w:r w:rsidRPr="00112806">
        <w:t>are</w:t>
      </w:r>
      <w:proofErr w:type="gramEnd"/>
      <w:r w:rsidRPr="00112806">
        <w:t xml:space="preserve"> due Net </w:t>
      </w:r>
      <w:r w:rsidR="00EF3F2F">
        <w:t>30</w:t>
      </w:r>
      <w:r w:rsidR="00EF3F2F" w:rsidRPr="00112806">
        <w:t xml:space="preserve"> </w:t>
      </w:r>
      <w:r w:rsidRPr="00112806">
        <w:t>after delivery of the Hardware to the Customer.</w:t>
      </w:r>
      <w:r>
        <w:t xml:space="preserve"> </w:t>
      </w:r>
      <w:r w:rsidR="00C62E57">
        <w:t xml:space="preserve">Notwithstanding anything to the contrary, the Support Plan shall commence upon delivery of the Hardware to the Customer. </w:t>
      </w:r>
      <w:r w:rsidRPr="00863563">
        <w:t>In the event Customer elects to purchase additional Hardware pursuant to this Schedule, the Hardware shall be (a) subject to the terms and conditions herein, (b) supported co-</w:t>
      </w:r>
      <w:proofErr w:type="spellStart"/>
      <w:r w:rsidRPr="00863563">
        <w:t>terminously</w:t>
      </w:r>
      <w:proofErr w:type="spellEnd"/>
      <w:r w:rsidRPr="00863563">
        <w:t xml:space="preserve"> with the Hardware herein, and (c) the fees due initially for the additional Hardware shall be due pursuant to the terms herein with the fees for the remaining Support Plan term pro-rated and any future payments for Support shall be concurrent with the current payment schedule herein.</w:t>
      </w:r>
      <w:r w:rsidRPr="00112806">
        <w:t xml:space="preserve"> WFS may assess interest at the rate of 1.5% per month or the maximum allowed by law on balances not paid when due.  Customer shall pay all costs incurred in the collection of charges due and payable, including reasonable attorney fees, </w:t>
      </w:r>
      <w:proofErr w:type="gramStart"/>
      <w:r w:rsidRPr="00112806">
        <w:t>whether or not</w:t>
      </w:r>
      <w:proofErr w:type="gramEnd"/>
      <w:r w:rsidRPr="00112806">
        <w:t xml:space="preserve"> </w:t>
      </w:r>
      <w:proofErr w:type="gramStart"/>
      <w:r w:rsidRPr="00112806">
        <w:t>suit</w:t>
      </w:r>
      <w:proofErr w:type="gramEnd"/>
      <w:r w:rsidRPr="00112806">
        <w:t xml:space="preserve"> is instituted. Customer will pay all taxes due on the Hardware (except for taxes on the net income of WFS), including sales, excise, and use taxes unless it certifies it is exempt from such taxes. All prices are exclusive of shipping and handling charges</w:t>
      </w:r>
      <w:r>
        <w:t xml:space="preserve"> and duties</w:t>
      </w:r>
      <w:r w:rsidRPr="00112806">
        <w:t xml:space="preserve"> which will be paid by Customer unless specifically noted. Customer is responsible for installation unless it has contracted with WFS for installation under a separate Agreement</w:t>
      </w:r>
      <w:r>
        <w:t xml:space="preserve">. </w:t>
      </w:r>
      <w:r w:rsidRPr="00112806">
        <w:t>Details of the Support Plan are attached and are attached and incorporated herein as Exhibit A. This Agreement shall terminate on the later of one (1) year from the Effective Date, or upon Customer’s payment for the Hardware and decision not to obtain support for the Hardware. The Hardware is not fault tolerant and is not designed or intended for use in hazardous environments requiring fail safe performances including any application in which its failure could lead directly to death, personal injury or severe physical or property damage (collectively, “</w:t>
      </w:r>
      <w:r w:rsidRPr="00112806">
        <w:rPr>
          <w:rStyle w:val="ChBoldUnderline"/>
        </w:rPr>
        <w:t>High Risk Activities</w:t>
      </w:r>
      <w:r w:rsidRPr="00112806">
        <w:t xml:space="preserve">”). WFS expressly disclaims all liability and any express or implied warranty for </w:t>
      </w:r>
      <w:proofErr w:type="gramStart"/>
      <w:r w:rsidRPr="00112806">
        <w:t>High Risk</w:t>
      </w:r>
      <w:proofErr w:type="gramEnd"/>
      <w:r w:rsidRPr="00112806">
        <w:t xml:space="preserve"> Activities and WFS shall not be liable for any injuries caused by the use of the Hardware. </w:t>
      </w:r>
      <w:proofErr w:type="gramStart"/>
      <w:r w:rsidRPr="00112806">
        <w:t>With regard to</w:t>
      </w:r>
      <w:proofErr w:type="gramEnd"/>
      <w:r w:rsidRPr="00112806">
        <w:t xml:space="preserve"> any software embedded in the Hardware (the “Embedded Software”), WFS grants to Customer a personal, perpetual, nonexclusive, non-transferable license to install, execute and use the Embedded Software. Customer may not sublicense, assign, or transfer the Embedded Software license to another party, in whole or in part, including through a merger or consolidation, without the written consent of WFS. Customer may not transfer the Embedded Software to other hardware or equipment. Customer may not decompile, reverse-engineer or make derivative works of the Embedded Software.  </w:t>
      </w:r>
    </w:p>
    <w:p w14:paraId="5132FE85" w14:textId="77777777" w:rsidR="00FF674D" w:rsidRPr="00112806" w:rsidRDefault="00FF674D" w:rsidP="00FF674D">
      <w:pPr>
        <w:pStyle w:val="ListNumbered"/>
        <w:numPr>
          <w:ilvl w:val="1"/>
          <w:numId w:val="32"/>
        </w:numPr>
        <w:spacing w:after="120" w:line="240" w:lineRule="auto"/>
        <w:jc w:val="both"/>
      </w:pPr>
      <w:r w:rsidRPr="003424CE">
        <w:rPr>
          <w:b/>
        </w:rPr>
        <w:t>Delivery Terms:</w:t>
      </w:r>
      <w:r w:rsidRPr="003424CE">
        <w:t xml:space="preserve"> </w:t>
      </w:r>
      <w:bookmarkStart w:id="0" w:name="_Hlk52897071"/>
      <w:r w:rsidRPr="00261956">
        <w:t xml:space="preserve">Hardware orders with </w:t>
      </w:r>
      <w:r w:rsidRPr="000C1837">
        <w:t>a named place of destination</w:t>
      </w:r>
      <w:r w:rsidRPr="003424CE">
        <w:t xml:space="preserve"> will be shipped with DAP (Delivered at Place) Incoterm</w:t>
      </w:r>
      <w:r w:rsidRPr="003424CE">
        <w:rPr>
          <w:rFonts w:ascii="Roboto" w:hAnsi="Roboto"/>
          <w:color w:val="4D5156"/>
          <w:shd w:val="clear" w:color="auto" w:fill="FFFFFF"/>
        </w:rPr>
        <w:t>®</w:t>
      </w:r>
      <w:r w:rsidRPr="003424CE">
        <w:t xml:space="preserve"> 2020</w:t>
      </w:r>
      <w:bookmarkStart w:id="1" w:name="_Hlk52896698"/>
      <w:r w:rsidRPr="003424CE">
        <w:t xml:space="preserve">. In cases where the Hardware is ultimately destined for an international location, but WFS is delivering the Hardware to an inland </w:t>
      </w:r>
      <w:r>
        <w:t>C</w:t>
      </w:r>
      <w:r w:rsidRPr="003424CE">
        <w:t>ustomer-appointed Freight Broker or Freight</w:t>
      </w:r>
      <w:r>
        <w:t xml:space="preserve"> Forwarder, Hardware orders will be shipped with FCA (Free Carrier) Incoterm</w:t>
      </w:r>
      <w:r>
        <w:rPr>
          <w:rFonts w:ascii="Roboto" w:hAnsi="Roboto"/>
          <w:color w:val="4D5156"/>
          <w:shd w:val="clear" w:color="auto" w:fill="FFFFFF"/>
        </w:rPr>
        <w:t>®</w:t>
      </w:r>
      <w:r>
        <w:t xml:space="preserve"> 2020</w:t>
      </w:r>
      <w:r w:rsidRPr="00D863F6">
        <w:t>.</w:t>
      </w:r>
      <w:bookmarkEnd w:id="1"/>
      <w:r w:rsidRPr="003424CE">
        <w:t xml:space="preserve"> For international shipments, Hardware title passes to Customer upon carrier notification that Hardware clears the port of entry.</w:t>
      </w:r>
      <w:r>
        <w:t xml:space="preserve"> For domestic shipments, title passes to Customer upon full payment for the Hardware.</w:t>
      </w:r>
      <w:bookmarkEnd w:id="0"/>
    </w:p>
    <w:p w14:paraId="2C5B272F" w14:textId="77777777" w:rsidR="00FF674D" w:rsidRPr="00112806" w:rsidRDefault="00FF674D" w:rsidP="00FF674D">
      <w:pPr>
        <w:pStyle w:val="ListNumbered"/>
        <w:numPr>
          <w:ilvl w:val="0"/>
          <w:numId w:val="32"/>
        </w:numPr>
        <w:spacing w:after="120" w:line="240" w:lineRule="auto"/>
        <w:jc w:val="both"/>
      </w:pPr>
      <w:r w:rsidRPr="00112806">
        <w:rPr>
          <w:rStyle w:val="Ch-Bold"/>
        </w:rPr>
        <w:t>Warranties.</w:t>
      </w:r>
      <w:r w:rsidRPr="00112806">
        <w:rPr>
          <w:rStyle w:val="Ch-Bold"/>
        </w:rPr>
        <w:tab/>
      </w:r>
      <w:r>
        <w:t xml:space="preserve"> </w:t>
      </w:r>
      <w:r w:rsidRPr="00112806">
        <w:t xml:space="preserve">WFS DOES NOT WARRANT OR REPRESENT THAT THE HARDWARE OR ANY PORTION THEREOF WILL BE ERROR FREE OR OPERATE UNINTERRUPTED OR THAT WFS WILL CORRECT ALL ERRORS. WFS MAKES NO WARRANTIES WITH RESPECT TO THE HARDWARE OR </w:t>
      </w:r>
      <w:r w:rsidRPr="00112806">
        <w:lastRenderedPageBreak/>
        <w:t>WFS’S PERFORMANCE OF SERVICES UNDER THE AGREEMENT, EXPRESS OR IMPLIED. TO THE EXTENT SUCH DISCLAIMERS CONFLICT WITH APPLICABLE LAW, THE SCOPE AND DURATION OF ANY APPLICABLE WARRANTY WILL BE THE MINIMUM PERMITTED UNDER SUCH LAW. CUSTOMER ASSUMES RESPONSIBILITY FOR THE CONDITION OF THE HARDWARE AND ACCEPTS THE HARDWARE IN “AS IS” CONDITION. IN NO EVENT SHALL WFS BE LIABLE FOR ANY LOSS OF PROFITS, LOSS OF USE, LOSS OF DATA, INTERRUP</w:t>
      </w:r>
      <w:r w:rsidRPr="00112806">
        <w:softHyphen/>
        <w:t>TION OF BUSINESS OR INDIRECT, SPECIAL, INCIDENTAL OR CONSE</w:t>
      </w:r>
      <w:r w:rsidRPr="00112806">
        <w:softHyphen/>
        <w:t>QUENTIAL DAMAGES OF ANY KIND IN CONNEC</w:t>
      </w:r>
      <w:r w:rsidRPr="00112806">
        <w:softHyphen/>
        <w:t>TION WITH OR ARISING OUT OF THE FURNISH</w:t>
      </w:r>
      <w:r w:rsidRPr="00112806">
        <w:softHyphen/>
        <w:t xml:space="preserve">ING, PERFORMANCE OR USE OF THE HARDWARE, WHETHER ALLEGED AS A BREACH OF CONTRACT OR TORTIOUS CONDUCT, INCLUDING NEGLIGENCE. THE LIMITATION OF LIABILITY SPECIFIED IN THIS PARAGRAPH APPLIES REGARDLESS OF THE CAUSE OR CIRCUMSTANCES GIVING RISE TO SUCH LOSSES OR DAMAGES, INCLUDING WITHOUT LIMITATION, </w:t>
      </w:r>
      <w:r w:rsidRPr="00112806">
        <w:rPr>
          <w:rStyle w:val="Ch-Base"/>
        </w:rPr>
        <w:t>WHETHER THE ALLEGED BREACH OR DEFAULT IS A BREACH OF A FUNDAMENTAL TERM</w:t>
      </w:r>
      <w:r w:rsidRPr="00112806">
        <w:t>. I</w:t>
      </w:r>
      <w:r w:rsidRPr="00112806">
        <w:rPr>
          <w:rStyle w:val="Ch-Base"/>
        </w:rPr>
        <w:t>N ANY EVENT, THE TOTAL LIABILITY UNDER THIS AGREEMENT SHALL BE LIMITED TO THE AMOUNTS PAID BY CUSTOMER DURING THE TWELVE (12) MONTHS PRECEDING AN INCIDENT</w:t>
      </w:r>
      <w:r w:rsidRPr="00112806">
        <w:t xml:space="preserve">. </w:t>
      </w:r>
      <w:r w:rsidRPr="00112806">
        <w:rPr>
          <w:rStyle w:val="Ch-Base"/>
        </w:rPr>
        <w:t>NOTWITHSTANDING ANYTHING TO THE CONTRARY, THE LIMITATIONS SPECIFIED IN THIS SECTION SHALL NOT APPLY FOR A BREACH OF THE PROVISIONS OF SECTION 3 (NON-DISCLOSURE).</w:t>
      </w:r>
    </w:p>
    <w:p w14:paraId="5B537655" w14:textId="77777777" w:rsidR="00EF3F2F" w:rsidRPr="00EF3F2F" w:rsidRDefault="00FF674D" w:rsidP="00EF3F2F">
      <w:pPr>
        <w:pStyle w:val="ListNumbered"/>
        <w:numPr>
          <w:ilvl w:val="0"/>
          <w:numId w:val="32"/>
        </w:numPr>
        <w:spacing w:after="120" w:line="240" w:lineRule="auto"/>
        <w:rPr>
          <w:rFonts w:ascii="Calibri" w:eastAsia="Calibri" w:hAnsi="Calibri" w:cs="Times New Roman"/>
        </w:rPr>
      </w:pPr>
      <w:r w:rsidRPr="00112806">
        <w:rPr>
          <w:rStyle w:val="Ch-Bold"/>
        </w:rPr>
        <w:t>Non-Disclosure.</w:t>
      </w:r>
      <w:r>
        <w:rPr>
          <w:rStyle w:val="Ch-Base"/>
        </w:rPr>
        <w:t xml:space="preserve"> </w:t>
      </w:r>
    </w:p>
    <w:p w14:paraId="0AA679D8" w14:textId="77777777" w:rsidR="00EF3F2F" w:rsidRPr="00EF3F2F" w:rsidRDefault="00EF3F2F" w:rsidP="00EF3F2F">
      <w:pPr>
        <w:pStyle w:val="ListNumbered"/>
        <w:numPr>
          <w:ilvl w:val="1"/>
          <w:numId w:val="32"/>
        </w:numPr>
        <w:spacing w:after="120" w:line="240" w:lineRule="auto"/>
        <w:rPr>
          <w:rFonts w:ascii="Calibri" w:eastAsia="Calibri" w:hAnsi="Calibri" w:cs="Times New Roman"/>
        </w:rPr>
      </w:pPr>
      <w:r w:rsidRPr="00EF3F2F">
        <w:rPr>
          <w:rFonts w:ascii="Calibri" w:eastAsia="Calibri" w:hAnsi="Calibri" w:cs="Times New Roman"/>
        </w:rPr>
        <w:t xml:space="preserve">“Proprietary Information” means information owned by WFS which WFS claims a protectable interest under law, including without limitation, (a) information protected by copyright, patent, trademark, or trade secret laws, and (b) pricing and any other information that is disclosed pursuant to this Agreement and reasonably should have been understood by the receiving party to be proprietary and confidential. To the extent required by law, any specific information that is claimed by WFS to be Proprietary Information must be clearly identified as such by WFS.  </w:t>
      </w:r>
    </w:p>
    <w:p w14:paraId="2F9D03A6" w14:textId="77777777" w:rsidR="00EF3F2F" w:rsidRPr="00EF3F2F" w:rsidRDefault="00EF3F2F" w:rsidP="00EF3F2F">
      <w:pPr>
        <w:numPr>
          <w:ilvl w:val="1"/>
          <w:numId w:val="32"/>
        </w:numPr>
        <w:spacing w:after="120" w:line="240" w:lineRule="auto"/>
        <w:rPr>
          <w:rFonts w:ascii="Calibri" w:eastAsia="Calibri" w:hAnsi="Calibri" w:cs="Times New Roman"/>
        </w:rPr>
      </w:pPr>
      <w:r w:rsidRPr="00EF3F2F">
        <w:rPr>
          <w:rFonts w:ascii="Calibri" w:eastAsia="Calibri" w:hAnsi="Calibri" w:cs="Times New Roman"/>
        </w:rPr>
        <w:t xml:space="preserve">To the extent consistent with the Public Records Act (as defined below), each party shall maintain as confidential and shall not disclose, publish, or use for purposes other than as intended in this Agreement the other party’s Proprietary Information except to personnel who need to know such information in connection with the recipient’s performance of its rights and obligations under this Agreement and in the normal course of its business and who are bound by confidentiality terms no less stringent than the terms contained herein. Each party shall protect such Proprietary Information with reasonable care and no less care than it would exercise to protect its own Proprietary Information of a like nature and to prevent the unauthorized, negligent, or inadvertent use, disclosure, or publication thereof. Notwithstanding anything else in this Agreement, either party may disclose Proprietary Information in accordance with a judicial or governmental order, or as otherwise required by law or the rules of a stock exchange on which the party’s securities are listed, </w:t>
      </w:r>
      <w:proofErr w:type="gramStart"/>
      <w:r w:rsidRPr="00EF3F2F">
        <w:rPr>
          <w:rFonts w:ascii="Calibri" w:eastAsia="Calibri" w:hAnsi="Calibri" w:cs="Times New Roman"/>
        </w:rPr>
        <w:t>quoted</w:t>
      </w:r>
      <w:proofErr w:type="gramEnd"/>
      <w:r w:rsidRPr="00EF3F2F">
        <w:rPr>
          <w:rFonts w:ascii="Calibri" w:eastAsia="Calibri" w:hAnsi="Calibri" w:cs="Times New Roman"/>
        </w:rPr>
        <w:t xml:space="preserve"> or traded. </w:t>
      </w:r>
    </w:p>
    <w:p w14:paraId="35A1C947" w14:textId="77777777" w:rsidR="00EF3F2F" w:rsidRPr="00EF3F2F" w:rsidRDefault="00EF3F2F" w:rsidP="00EF3F2F">
      <w:pPr>
        <w:numPr>
          <w:ilvl w:val="1"/>
          <w:numId w:val="32"/>
        </w:numPr>
        <w:spacing w:after="120" w:line="240" w:lineRule="auto"/>
        <w:rPr>
          <w:rFonts w:ascii="Calibri" w:eastAsia="Calibri" w:hAnsi="Calibri" w:cs="Times New Roman"/>
        </w:rPr>
      </w:pPr>
      <w:r w:rsidRPr="00EF3F2F">
        <w:rPr>
          <w:rFonts w:ascii="Calibri" w:eastAsia="Calibri" w:hAnsi="Calibri" w:cs="Times New Roman"/>
        </w:rPr>
        <w:t xml:space="preserve">WFS acknowledges that Customer is subject to the Public Records Act (Chapter 42.56 RCW) and that this Contract is a public record as defined in Chapter 42.56 RCW (“Public Records Act”).  Customer agrees that the Proprietary Information provided by WFS constitutes valuable commercial trade secrets and that such trade secrets are excluded from the disclosure requirements and right to inspect provisions of the Public Record Act.  Accordingly, nothing in </w:t>
      </w:r>
      <w:r w:rsidRPr="00EF3F2F">
        <w:rPr>
          <w:rFonts w:ascii="Calibri" w:eastAsia="Calibri" w:hAnsi="Calibri" w:cs="Times New Roman"/>
        </w:rPr>
        <w:lastRenderedPageBreak/>
        <w:t>the Public Record Act shall diminish the obligations of Customer under this Agreement.  Notwithstanding the restrictions imposed by this Agreement, should Customer be required by a court of competent jurisdiction to make available for public inspection any of the Proprietary Information of WFS, the Parties acknowledge that Federal Copyright Law applies to the Proprietary Information and as such, copying of the Proprietary Information is not permitted for the purpose of inspection and would constitute a breach of this Agreement.  If ordered by a court of competent jurisdiction to make Proprietary Information available for public inspection, Customer shall limit the disclosure to only those subsets required by the court to be disclosed and that it and its agents shall do so in a manner permitted under state and federal law, shall not make nor permit copies of the Proprietary Information to be made unless ordered by the courts to do so and shall supervise the inspection to prevent copying that would be impermissible under law. In processing public records requests involving WFS documents Customer will make efforts to identify unmarked Proprietary information or information which reasonably could be understood to be Proprietary. P</w:t>
      </w:r>
      <w:r w:rsidRPr="00EF3F2F">
        <w:rPr>
          <w:rFonts w:ascii="Calibri" w:eastAsia="Calibri" w:hAnsi="Calibri" w:cs="Times New Roman"/>
          <w:bCs/>
        </w:rPr>
        <w:t xml:space="preserve">rior to disclosing such information or upon any receipt of any request for public inspection of Proprietary Information of Workforce under the Public Record Acts, </w:t>
      </w:r>
      <w:r w:rsidRPr="00EF3F2F">
        <w:rPr>
          <w:rFonts w:ascii="Calibri" w:eastAsia="Calibri" w:hAnsi="Calibri" w:cs="Times New Roman"/>
        </w:rPr>
        <w:t xml:space="preserve">Customer </w:t>
      </w:r>
      <w:r w:rsidRPr="00EF3F2F">
        <w:rPr>
          <w:rFonts w:ascii="Calibri" w:eastAsia="Calibri" w:hAnsi="Calibri" w:cs="Times New Roman"/>
          <w:bCs/>
        </w:rPr>
        <w:t xml:space="preserve">shall notify WFS to allow WFS to intervene in such request to protect its interests and valuable commercial trade secrets. </w:t>
      </w:r>
      <w:r w:rsidRPr="00EF3F2F">
        <w:rPr>
          <w:rFonts w:ascii="Calibri" w:eastAsia="Calibri" w:hAnsi="Calibri" w:cs="Times New Roman"/>
        </w:rPr>
        <w:t xml:space="preserve">Nothing in the provisions of this Section 3 is meant to limit the ability to use the Proprietary Information to produce information in printed or electronic form which is legitimately public information and is contained within the Proprietary Information or can only be processed by the Proprietary Information, </w:t>
      </w:r>
      <w:proofErr w:type="gramStart"/>
      <w:r w:rsidRPr="00EF3F2F">
        <w:rPr>
          <w:rFonts w:ascii="Calibri" w:eastAsia="Calibri" w:hAnsi="Calibri" w:cs="Times New Roman"/>
        </w:rPr>
        <w:t>in order to</w:t>
      </w:r>
      <w:proofErr w:type="gramEnd"/>
      <w:r w:rsidRPr="00EF3F2F">
        <w:rPr>
          <w:rFonts w:ascii="Calibri" w:eastAsia="Calibri" w:hAnsi="Calibri" w:cs="Times New Roman"/>
        </w:rPr>
        <w:t xml:space="preserve"> comply with the Public Records Acts as long as the Proprietary Information itself is not disclosed.</w:t>
      </w:r>
    </w:p>
    <w:p w14:paraId="3FFAFB02" w14:textId="09AE3794" w:rsidR="00FF674D" w:rsidRDefault="00FF674D" w:rsidP="00EF3F2F">
      <w:pPr>
        <w:pStyle w:val="ListNumbered"/>
        <w:numPr>
          <w:ilvl w:val="0"/>
          <w:numId w:val="0"/>
        </w:numPr>
        <w:spacing w:after="120" w:line="240" w:lineRule="auto"/>
        <w:ind w:left="360"/>
        <w:jc w:val="both"/>
        <w:rPr>
          <w:rStyle w:val="Ch-Base"/>
        </w:rPr>
      </w:pPr>
    </w:p>
    <w:p w14:paraId="1A7C59C4" w14:textId="3DBF6179" w:rsidR="00FF674D" w:rsidRPr="00112806" w:rsidRDefault="00FF674D" w:rsidP="00972763">
      <w:pPr>
        <w:pStyle w:val="ListNumbered"/>
        <w:numPr>
          <w:ilvl w:val="0"/>
          <w:numId w:val="32"/>
        </w:numPr>
        <w:spacing w:after="120" w:line="240" w:lineRule="auto"/>
        <w:jc w:val="both"/>
        <w:rPr>
          <w:rStyle w:val="Ch-Base"/>
        </w:rPr>
      </w:pPr>
      <w:bookmarkStart w:id="2" w:name="_Hlk494883582"/>
      <w:r>
        <w:rPr>
          <w:b/>
        </w:rPr>
        <w:t xml:space="preserve">Biometric Information. </w:t>
      </w:r>
      <w:r w:rsidR="00C62E57" w:rsidRPr="00C62E57">
        <w:t>Customer acknowledges that the use of the Hardware may entail the gathering and storage of biometric information. Customer shall: (</w:t>
      </w:r>
      <w:proofErr w:type="spellStart"/>
      <w:r w:rsidR="00C62E57" w:rsidRPr="00C62E57">
        <w:t>i</w:t>
      </w:r>
      <w:proofErr w:type="spellEnd"/>
      <w:r w:rsidR="00C62E57" w:rsidRPr="00C62E57">
        <w:t>) collect, store, disclose, protect, and destroy such biometric information pursuant to applicable law; (ii) provide all necessary disclosures and obtain the requisite consents and releases for itself and WFS from all third parties that will utilize such biometric technology; and (iii) shall erase any biometric information from Hardware prior to sending such Hardware to WFS for any reason.</w:t>
      </w:r>
      <w:bookmarkEnd w:id="2"/>
    </w:p>
    <w:p w14:paraId="2F8C661B" w14:textId="27722662" w:rsidR="00FF674D" w:rsidRDefault="00FF674D" w:rsidP="00FF674D">
      <w:pPr>
        <w:pStyle w:val="ListNumbered"/>
        <w:numPr>
          <w:ilvl w:val="0"/>
          <w:numId w:val="32"/>
        </w:numPr>
        <w:spacing w:after="120" w:line="240" w:lineRule="auto"/>
        <w:jc w:val="both"/>
        <w:rPr>
          <w:rStyle w:val="Ch-Base"/>
        </w:rPr>
      </w:pPr>
      <w:r w:rsidRPr="00112806">
        <w:rPr>
          <w:rStyle w:val="Ch-Bold"/>
        </w:rPr>
        <w:t>General Provisions.</w:t>
      </w:r>
      <w:r w:rsidR="00D73D6F">
        <w:rPr>
          <w:rStyle w:val="ChBoldUnderline"/>
        </w:rPr>
        <w:t xml:space="preserve"> </w:t>
      </w:r>
      <w:r w:rsidRPr="00D73D6F">
        <w:rPr>
          <w:rStyle w:val="ChBoldUnderline"/>
          <w:b w:val="0"/>
          <w:bCs/>
          <w:u w:val="none"/>
        </w:rPr>
        <w:t xml:space="preserve">Any notice to be sent relating to this Agreement shall be in writing and mailed to the other party at the addresses set forth herein addressed to Legal Department, by certified mail, return receipt requested with, for notices from Customer to WFS, a digital copy to be sent to </w:t>
      </w:r>
      <w:hyperlink r:id="rId11" w:history="1">
        <w:r w:rsidRPr="00022CCF">
          <w:rPr>
            <w:rStyle w:val="Hyperlink"/>
          </w:rPr>
          <w:t>legal@workforcesoftware.com</w:t>
        </w:r>
      </w:hyperlink>
      <w:r w:rsidRPr="00D73D6F">
        <w:rPr>
          <w:rStyle w:val="ChBoldUnderline"/>
          <w:b w:val="0"/>
          <w:bCs/>
          <w:u w:val="none"/>
        </w:rPr>
        <w:t xml:space="preserve">. This </w:t>
      </w:r>
      <w:r w:rsidRPr="00D73D6F">
        <w:rPr>
          <w:rStyle w:val="Ch-Base"/>
        </w:rPr>
        <w:t>Agreement contains</w:t>
      </w:r>
      <w:r w:rsidRPr="00112806">
        <w:rPr>
          <w:rStyle w:val="Ch-Base"/>
        </w:rPr>
        <w:t xml:space="preserve"> the entire agreement of the parties with respect to its subject matter, and there are no promises, conditions, </w:t>
      </w:r>
      <w:proofErr w:type="gramStart"/>
      <w:r w:rsidRPr="00112806">
        <w:rPr>
          <w:rStyle w:val="Ch-Base"/>
        </w:rPr>
        <w:t>representations</w:t>
      </w:r>
      <w:proofErr w:type="gramEnd"/>
      <w:r w:rsidRPr="00112806">
        <w:rPr>
          <w:rStyle w:val="Ch-Base"/>
        </w:rPr>
        <w:t xml:space="preserve"> or warranties except as expressly set forth herein. This Agreement may be modified or amended only by written instrument executed by the parties. No term or provision of this Agreement shall be deemed waived, and no breach excused, unless such waiver or consent shall be in writing and signed by the party claimed to have waived or consented. Any consent by any party to, or waiver of, a breach by the other party, whether express or implied, shall not constitute a consent to or waiver of any different or subsequent breach. WFS and Customer shall, for all purposes hereunder, be considered independent contractors. If a court of competent jurisdiction holds any provision of this </w:t>
      </w:r>
      <w:r w:rsidRPr="00112806">
        <w:rPr>
          <w:rStyle w:val="Ch-Base"/>
        </w:rPr>
        <w:lastRenderedPageBreak/>
        <w:t xml:space="preserve">Agreement to be illegal, or invalid in whole or in part for any reason, the validity and enforceability of the remaining provisions, or portions of them, will not be affected. Any dispute under or in connection with this Agreement shall be subject to the exclusive jurisdiction of the courts of </w:t>
      </w:r>
      <w:r w:rsidR="00C62E57">
        <w:rPr>
          <w:rStyle w:val="Ch-Base"/>
        </w:rPr>
        <w:t>Thurston</w:t>
      </w:r>
      <w:r w:rsidR="00C62E57" w:rsidRPr="00112806">
        <w:rPr>
          <w:rStyle w:val="Ch-Base"/>
        </w:rPr>
        <w:t xml:space="preserve"> </w:t>
      </w:r>
      <w:r w:rsidRPr="00112806">
        <w:rPr>
          <w:rStyle w:val="Ch-Base"/>
        </w:rPr>
        <w:t xml:space="preserve">County, </w:t>
      </w:r>
      <w:r w:rsidR="00C62E57">
        <w:rPr>
          <w:rStyle w:val="Ch-Base"/>
        </w:rPr>
        <w:t>Washington</w:t>
      </w:r>
      <w:r w:rsidR="00C62E57" w:rsidRPr="00112806">
        <w:rPr>
          <w:rStyle w:val="Ch-Base"/>
        </w:rPr>
        <w:t xml:space="preserve"> </w:t>
      </w:r>
      <w:r w:rsidRPr="00112806">
        <w:rPr>
          <w:rStyle w:val="Ch-Base"/>
        </w:rPr>
        <w:t xml:space="preserve">and subject to </w:t>
      </w:r>
      <w:r w:rsidR="00C62E57">
        <w:rPr>
          <w:rStyle w:val="Ch-Base"/>
        </w:rPr>
        <w:t>Washington</w:t>
      </w:r>
      <w:r w:rsidR="00C62E57" w:rsidRPr="00112806">
        <w:rPr>
          <w:rStyle w:val="Ch-Base"/>
        </w:rPr>
        <w:t xml:space="preserve"> </w:t>
      </w:r>
      <w:r w:rsidRPr="00112806">
        <w:rPr>
          <w:rStyle w:val="Ch-Base"/>
        </w:rPr>
        <w:t xml:space="preserve">law, without regard </w:t>
      </w:r>
      <w:proofErr w:type="gramStart"/>
      <w:r w:rsidRPr="00112806">
        <w:rPr>
          <w:rStyle w:val="Ch-Base"/>
        </w:rPr>
        <w:t>to choice</w:t>
      </w:r>
      <w:proofErr w:type="gramEnd"/>
      <w:r w:rsidRPr="00112806">
        <w:rPr>
          <w:rStyle w:val="Ch-Base"/>
        </w:rPr>
        <w:t xml:space="preserve"> of law provisions. Consent is not required for an assignment of this Agreement in connection with a sale or disposition of a majority of all the assets, voting securities or equity interests of WFS, or a reorganization, </w:t>
      </w:r>
      <w:proofErr w:type="gramStart"/>
      <w:r w:rsidRPr="00112806">
        <w:rPr>
          <w:rStyle w:val="Ch-Base"/>
        </w:rPr>
        <w:t>merger</w:t>
      </w:r>
      <w:proofErr w:type="gramEnd"/>
      <w:r w:rsidRPr="00112806">
        <w:rPr>
          <w:rStyle w:val="Ch-Base"/>
        </w:rPr>
        <w:t xml:space="preserve"> or similar transaction of WFS. The provisions of Sections 2, 3, 4</w:t>
      </w:r>
      <w:r>
        <w:rPr>
          <w:rStyle w:val="Ch-Base"/>
        </w:rPr>
        <w:t>, 5</w:t>
      </w:r>
      <w:r w:rsidRPr="00112806">
        <w:rPr>
          <w:rStyle w:val="Ch-Base"/>
        </w:rPr>
        <w:t xml:space="preserve"> and any payment obligations incurred by Customer prior to or upon termination shall survive termination of this Agreement. EACH PARTY ACKNOWLEDGES THAT THE WARRANTY DISCLAIMERS AND LIABILITY LIMITATIONS HEREIN ARE A MATERIAL BARGAINED FOR BASES OF THIS AGREEMENT AND THEY HAVE BEEN TAKEN INTO ACCOUNT AND REFLECTED IN DETERMINING THE CONSIDERATION TO BE GIVEN AND IN THE DECISION BY EACH PARTY TO ENTER INTO THE AGREEMENT.</w:t>
      </w:r>
      <w:r w:rsidR="00C62E57">
        <w:rPr>
          <w:rStyle w:val="Ch-Base"/>
        </w:rPr>
        <w:t xml:space="preserve"> </w:t>
      </w:r>
      <w:r w:rsidR="00C62E57" w:rsidRPr="00C62E57">
        <w:rPr>
          <w:rStyle w:val="Ch-Base"/>
        </w:rPr>
        <w:t>The Provisions of Chapter 39.26 RCW require the agency to file this sole source contract with the Department of Enterprise Services (DES) for approval. The effective date of this contract is upon DES approval of the contract, the (10th) working day after it is filed with DES, or as agreed between the parties, whichever is later. Notwithstanding the foregoing, the “Effective Date” as that term is used herein shall have the meaning first ascribed to it in this Agreement.</w:t>
      </w:r>
    </w:p>
    <w:p w14:paraId="6DED4C57" w14:textId="77777777" w:rsidR="00050EB2" w:rsidRDefault="00050EB2" w:rsidP="00050EB2">
      <w:pPr>
        <w:pStyle w:val="ListNumbered"/>
        <w:numPr>
          <w:ilvl w:val="0"/>
          <w:numId w:val="0"/>
        </w:numPr>
        <w:spacing w:after="80" w:line="264" w:lineRule="auto"/>
        <w:contextualSpacing/>
        <w:jc w:val="both"/>
        <w:rPr>
          <w:rStyle w:val="Ch-Base"/>
          <w:rFonts w:ascii="Calibri" w:hAnsi="Calibri" w:cs="Calibri"/>
          <w:szCs w:val="24"/>
        </w:rPr>
      </w:pPr>
    </w:p>
    <w:p w14:paraId="7BF7A2CE" w14:textId="295EC757" w:rsidR="008F074D" w:rsidRDefault="00FF674D" w:rsidP="005A1C71">
      <w:pPr>
        <w:pStyle w:val="ListNumbered"/>
        <w:numPr>
          <w:ilvl w:val="0"/>
          <w:numId w:val="0"/>
        </w:numPr>
        <w:spacing w:after="80" w:line="264" w:lineRule="auto"/>
        <w:contextualSpacing/>
        <w:jc w:val="both"/>
      </w:pPr>
      <w:r w:rsidRPr="00112806">
        <w:t>IN WITNESS WHEREOF, the parties have executed this Agreement as of the Effective Date.</w:t>
      </w:r>
    </w:p>
    <w:p w14:paraId="34121E09" w14:textId="77777777" w:rsidR="005A1C71" w:rsidRPr="005A1C71" w:rsidRDefault="005A1C71" w:rsidP="005A1C71">
      <w:pPr>
        <w:pStyle w:val="ListNumbered"/>
        <w:numPr>
          <w:ilvl w:val="0"/>
          <w:numId w:val="0"/>
        </w:numPr>
        <w:spacing w:after="80" w:line="264" w:lineRule="auto"/>
        <w:contextualSpacing/>
        <w:jc w:val="both"/>
        <w:rPr>
          <w:rFonts w:ascii="Calibri" w:hAnsi="Calibri" w:cs="Calibri"/>
          <w:szCs w:val="24"/>
        </w:rPr>
      </w:pPr>
    </w:p>
    <w:tbl>
      <w:tblPr>
        <w:tblW w:w="5000" w:type="pct"/>
        <w:jc w:val="center"/>
        <w:tblCellMar>
          <w:top w:w="29" w:type="dxa"/>
          <w:left w:w="72" w:type="dxa"/>
          <w:bottom w:w="29" w:type="dxa"/>
          <w:right w:w="72" w:type="dxa"/>
        </w:tblCellMar>
        <w:tblLook w:val="0600" w:firstRow="0" w:lastRow="0" w:firstColumn="0" w:lastColumn="0" w:noHBand="1" w:noVBand="1"/>
      </w:tblPr>
      <w:tblGrid>
        <w:gridCol w:w="1242"/>
        <w:gridCol w:w="3316"/>
        <w:gridCol w:w="217"/>
        <w:gridCol w:w="1225"/>
        <w:gridCol w:w="3360"/>
      </w:tblGrid>
      <w:tr w:rsidR="00EF4849" w:rsidRPr="00EF4849" w14:paraId="1C22A1CB" w14:textId="77777777" w:rsidTr="007F57A6">
        <w:trPr>
          <w:cantSplit/>
          <w:trHeight w:val="468"/>
          <w:jc w:val="center"/>
        </w:trPr>
        <w:tc>
          <w:tcPr>
            <w:tcW w:w="4755" w:type="dxa"/>
            <w:gridSpan w:val="2"/>
            <w:hideMark/>
          </w:tcPr>
          <w:p w14:paraId="2DBFD831" w14:textId="77777777" w:rsidR="00EF4849" w:rsidRPr="00EF4849" w:rsidRDefault="00EF4849" w:rsidP="007F57A6">
            <w:pPr>
              <w:pStyle w:val="TableText"/>
              <w:rPr>
                <w:rStyle w:val="Ch-Bold"/>
              </w:rPr>
            </w:pPr>
            <w:r w:rsidRPr="00EF4849">
              <w:rPr>
                <w:rStyle w:val="Ch-Bold"/>
              </w:rPr>
              <w:t>CUSTOMER</w:t>
            </w:r>
          </w:p>
        </w:tc>
        <w:tc>
          <w:tcPr>
            <w:tcW w:w="218" w:type="dxa"/>
          </w:tcPr>
          <w:p w14:paraId="33D5A200" w14:textId="77777777" w:rsidR="00EF4849" w:rsidRPr="00EF4849" w:rsidRDefault="00EF4849" w:rsidP="007F57A6">
            <w:pPr>
              <w:pStyle w:val="TableText"/>
              <w:spacing w:line="276" w:lineRule="auto"/>
            </w:pPr>
          </w:p>
        </w:tc>
        <w:tc>
          <w:tcPr>
            <w:tcW w:w="4773" w:type="dxa"/>
            <w:gridSpan w:val="2"/>
            <w:hideMark/>
          </w:tcPr>
          <w:sdt>
            <w:sdtPr>
              <w:tag w:val="SCM_TERMSYNC_4d8583aa-8587-46e7-a794-b5d39a8e07ce"/>
              <w:id w:val="2026"/>
            </w:sdtPr>
            <w:sdtEndPr/>
            <w:sdtContent>
              <w:p w14:paraId="1FB93A36" w14:textId="77777777" w:rsidR="00FC0B26" w:rsidRDefault="00E67D35">
                <w:pPr>
                  <w:rPr>
                    <w:rStyle w:val="Ch-Bold"/>
                    <w:b w:val="0"/>
                    <w:sz w:val="24"/>
                    <w:szCs w:val="24"/>
                  </w:rPr>
                </w:pPr>
                <w:r>
                  <w:rPr>
                    <w:rStyle w:val="ChBoldUnderline"/>
                    <w:sz w:val="24"/>
                    <w:szCs w:val="24"/>
                    <w:u w:val="none"/>
                  </w:rPr>
                  <w:t>WORKFORCE SOFTWARE, LLC</w:t>
                </w:r>
              </w:p>
            </w:sdtContent>
          </w:sdt>
        </w:tc>
      </w:tr>
      <w:tr w:rsidR="00EF4849" w:rsidRPr="00EF4849" w14:paraId="72D99563" w14:textId="77777777" w:rsidTr="007F57A6">
        <w:trPr>
          <w:cantSplit/>
          <w:trHeight w:val="468"/>
          <w:jc w:val="center"/>
        </w:trPr>
        <w:tc>
          <w:tcPr>
            <w:tcW w:w="1256" w:type="dxa"/>
            <w:vAlign w:val="bottom"/>
            <w:hideMark/>
          </w:tcPr>
          <w:p w14:paraId="77A5B71E" w14:textId="77777777" w:rsidR="00EF4849" w:rsidRPr="000E6F60" w:rsidRDefault="00EF4849" w:rsidP="007F57A6">
            <w:pPr>
              <w:pStyle w:val="TableText"/>
              <w:spacing w:line="276" w:lineRule="auto"/>
              <w:rPr>
                <w:sz w:val="20"/>
                <w:szCs w:val="20"/>
              </w:rPr>
            </w:pPr>
            <w:r w:rsidRPr="000E6F60">
              <w:rPr>
                <w:sz w:val="20"/>
                <w:szCs w:val="20"/>
                <w:lang w:bidi="en-US"/>
              </w:rPr>
              <w:t>Date:</w:t>
            </w:r>
          </w:p>
        </w:tc>
        <w:tc>
          <w:tcPr>
            <w:tcW w:w="3499" w:type="dxa"/>
            <w:tcBorders>
              <w:top w:val="nil"/>
              <w:left w:val="nil"/>
              <w:bottom w:val="single" w:sz="4" w:space="0" w:color="auto"/>
              <w:right w:val="nil"/>
            </w:tcBorders>
            <w:vAlign w:val="bottom"/>
          </w:tcPr>
          <w:p w14:paraId="2B6EF9F4" w14:textId="77777777" w:rsidR="00EF4849" w:rsidRPr="000E6F60" w:rsidRDefault="00EF4849" w:rsidP="007F57A6">
            <w:pPr>
              <w:pStyle w:val="TableText"/>
              <w:spacing w:line="276" w:lineRule="auto"/>
              <w:rPr>
                <w:sz w:val="20"/>
                <w:szCs w:val="20"/>
                <w:lang w:bidi="en-US"/>
              </w:rPr>
            </w:pPr>
          </w:p>
        </w:tc>
        <w:tc>
          <w:tcPr>
            <w:tcW w:w="218" w:type="dxa"/>
            <w:vAlign w:val="bottom"/>
          </w:tcPr>
          <w:p w14:paraId="5B77C973" w14:textId="77777777" w:rsidR="00EF4849" w:rsidRPr="000E6F60" w:rsidRDefault="00EF4849" w:rsidP="007F57A6">
            <w:pPr>
              <w:pStyle w:val="TableText"/>
              <w:spacing w:line="276" w:lineRule="auto"/>
              <w:rPr>
                <w:sz w:val="20"/>
                <w:szCs w:val="20"/>
                <w:lang w:bidi="en-US"/>
              </w:rPr>
            </w:pPr>
          </w:p>
        </w:tc>
        <w:tc>
          <w:tcPr>
            <w:tcW w:w="1232" w:type="dxa"/>
            <w:vAlign w:val="bottom"/>
            <w:hideMark/>
          </w:tcPr>
          <w:p w14:paraId="1D782961" w14:textId="77777777" w:rsidR="00EF4849" w:rsidRPr="000E6F60" w:rsidRDefault="00EF4849" w:rsidP="007F57A6">
            <w:pPr>
              <w:pStyle w:val="TableText"/>
              <w:spacing w:line="276" w:lineRule="auto"/>
              <w:rPr>
                <w:sz w:val="20"/>
                <w:szCs w:val="20"/>
                <w:lang w:bidi="en-US"/>
              </w:rPr>
            </w:pPr>
            <w:r w:rsidRPr="000E6F60">
              <w:rPr>
                <w:sz w:val="20"/>
                <w:szCs w:val="20"/>
                <w:lang w:bidi="en-US"/>
              </w:rPr>
              <w:t>Date:</w:t>
            </w:r>
          </w:p>
        </w:tc>
        <w:tc>
          <w:tcPr>
            <w:tcW w:w="3541" w:type="dxa"/>
            <w:tcBorders>
              <w:top w:val="nil"/>
              <w:left w:val="nil"/>
              <w:bottom w:val="single" w:sz="4" w:space="0" w:color="auto"/>
              <w:right w:val="nil"/>
            </w:tcBorders>
            <w:vAlign w:val="bottom"/>
          </w:tcPr>
          <w:p w14:paraId="25D83798" w14:textId="77777777" w:rsidR="00EF4849" w:rsidRPr="000E6F60" w:rsidRDefault="00EF4849" w:rsidP="007F57A6">
            <w:pPr>
              <w:pStyle w:val="TableText"/>
              <w:spacing w:line="276" w:lineRule="auto"/>
              <w:rPr>
                <w:sz w:val="20"/>
                <w:szCs w:val="20"/>
                <w:lang w:bidi="en-US"/>
              </w:rPr>
            </w:pPr>
          </w:p>
        </w:tc>
      </w:tr>
      <w:tr w:rsidR="00EF4849" w:rsidRPr="00EF4849" w14:paraId="76147F54" w14:textId="77777777" w:rsidTr="007F57A6">
        <w:trPr>
          <w:cantSplit/>
          <w:trHeight w:val="468"/>
          <w:jc w:val="center"/>
        </w:trPr>
        <w:tc>
          <w:tcPr>
            <w:tcW w:w="1256" w:type="dxa"/>
            <w:vAlign w:val="bottom"/>
            <w:hideMark/>
          </w:tcPr>
          <w:p w14:paraId="2044E8A2" w14:textId="77777777" w:rsidR="00EF4849" w:rsidRPr="000E6F60" w:rsidRDefault="00EF4849" w:rsidP="007F57A6">
            <w:pPr>
              <w:pStyle w:val="TableText"/>
              <w:spacing w:line="276" w:lineRule="auto"/>
              <w:rPr>
                <w:sz w:val="20"/>
                <w:szCs w:val="20"/>
                <w:lang w:bidi="en-US"/>
              </w:rPr>
            </w:pPr>
            <w:r w:rsidRPr="000E6F60">
              <w:rPr>
                <w:sz w:val="20"/>
                <w:szCs w:val="20"/>
                <w:lang w:bidi="en-US"/>
              </w:rPr>
              <w:t>Signature:</w:t>
            </w:r>
          </w:p>
        </w:tc>
        <w:tc>
          <w:tcPr>
            <w:tcW w:w="3499" w:type="dxa"/>
            <w:tcBorders>
              <w:top w:val="single" w:sz="4" w:space="0" w:color="auto"/>
              <w:left w:val="nil"/>
              <w:bottom w:val="single" w:sz="4" w:space="0" w:color="auto"/>
              <w:right w:val="nil"/>
            </w:tcBorders>
            <w:vAlign w:val="bottom"/>
          </w:tcPr>
          <w:p w14:paraId="0E9D5776" w14:textId="77777777" w:rsidR="00EF4849" w:rsidRPr="000E6F60" w:rsidRDefault="00EF4849" w:rsidP="007F57A6">
            <w:pPr>
              <w:pStyle w:val="TableText"/>
              <w:spacing w:line="276" w:lineRule="auto"/>
              <w:rPr>
                <w:sz w:val="20"/>
                <w:szCs w:val="20"/>
                <w:lang w:bidi="en-US"/>
              </w:rPr>
            </w:pPr>
          </w:p>
        </w:tc>
        <w:tc>
          <w:tcPr>
            <w:tcW w:w="218" w:type="dxa"/>
            <w:vAlign w:val="bottom"/>
          </w:tcPr>
          <w:p w14:paraId="4530FDB8" w14:textId="77777777" w:rsidR="00EF4849" w:rsidRPr="000E6F60" w:rsidRDefault="00EF4849" w:rsidP="007F57A6">
            <w:pPr>
              <w:pStyle w:val="TableText"/>
              <w:spacing w:line="276" w:lineRule="auto"/>
              <w:rPr>
                <w:sz w:val="20"/>
                <w:szCs w:val="20"/>
                <w:lang w:bidi="en-US"/>
              </w:rPr>
            </w:pPr>
          </w:p>
        </w:tc>
        <w:tc>
          <w:tcPr>
            <w:tcW w:w="1232" w:type="dxa"/>
            <w:vAlign w:val="bottom"/>
            <w:hideMark/>
          </w:tcPr>
          <w:p w14:paraId="038249FF" w14:textId="77777777" w:rsidR="00EF4849" w:rsidRPr="000E6F60" w:rsidRDefault="00EF4849" w:rsidP="007F57A6">
            <w:pPr>
              <w:pStyle w:val="TableText"/>
              <w:spacing w:line="276" w:lineRule="auto"/>
              <w:rPr>
                <w:sz w:val="20"/>
                <w:szCs w:val="20"/>
                <w:lang w:bidi="en-US"/>
              </w:rPr>
            </w:pPr>
            <w:r w:rsidRPr="000E6F60">
              <w:rPr>
                <w:sz w:val="20"/>
                <w:szCs w:val="20"/>
                <w:lang w:bidi="en-US"/>
              </w:rPr>
              <w:t>Signature:</w:t>
            </w:r>
          </w:p>
        </w:tc>
        <w:tc>
          <w:tcPr>
            <w:tcW w:w="3541" w:type="dxa"/>
            <w:tcBorders>
              <w:top w:val="single" w:sz="4" w:space="0" w:color="auto"/>
              <w:left w:val="nil"/>
              <w:bottom w:val="single" w:sz="4" w:space="0" w:color="auto"/>
              <w:right w:val="nil"/>
            </w:tcBorders>
            <w:vAlign w:val="bottom"/>
          </w:tcPr>
          <w:p w14:paraId="385D806C" w14:textId="77777777" w:rsidR="00EF4849" w:rsidRPr="000E6F60" w:rsidRDefault="00EF4849" w:rsidP="007F57A6">
            <w:pPr>
              <w:pStyle w:val="TableText"/>
              <w:spacing w:line="276" w:lineRule="auto"/>
              <w:rPr>
                <w:sz w:val="20"/>
                <w:szCs w:val="20"/>
                <w:lang w:bidi="en-US"/>
              </w:rPr>
            </w:pPr>
          </w:p>
        </w:tc>
      </w:tr>
      <w:tr w:rsidR="00EF4849" w:rsidRPr="00EF4849" w14:paraId="3D894706" w14:textId="77777777" w:rsidTr="007F57A6">
        <w:trPr>
          <w:cantSplit/>
          <w:trHeight w:val="468"/>
          <w:jc w:val="center"/>
        </w:trPr>
        <w:tc>
          <w:tcPr>
            <w:tcW w:w="1256" w:type="dxa"/>
            <w:vAlign w:val="bottom"/>
            <w:hideMark/>
          </w:tcPr>
          <w:p w14:paraId="0B65C064" w14:textId="77777777" w:rsidR="00EF4849" w:rsidRPr="000E6F60" w:rsidRDefault="00EF4849" w:rsidP="007F57A6">
            <w:pPr>
              <w:pStyle w:val="TableText"/>
              <w:spacing w:line="276" w:lineRule="auto"/>
              <w:rPr>
                <w:sz w:val="20"/>
                <w:szCs w:val="20"/>
                <w:lang w:bidi="en-US"/>
              </w:rPr>
            </w:pPr>
            <w:r w:rsidRPr="000E6F60">
              <w:rPr>
                <w:sz w:val="20"/>
                <w:szCs w:val="20"/>
                <w:lang w:bidi="en-US"/>
              </w:rPr>
              <w:t>Printed Name:</w:t>
            </w:r>
          </w:p>
        </w:tc>
        <w:tc>
          <w:tcPr>
            <w:tcW w:w="3499" w:type="dxa"/>
            <w:tcBorders>
              <w:top w:val="single" w:sz="4" w:space="0" w:color="auto"/>
              <w:left w:val="nil"/>
              <w:bottom w:val="single" w:sz="4" w:space="0" w:color="auto"/>
              <w:right w:val="nil"/>
            </w:tcBorders>
            <w:vAlign w:val="bottom"/>
          </w:tcPr>
          <w:p w14:paraId="59926E01" w14:textId="77777777" w:rsidR="00EF4849" w:rsidRPr="000E6F60" w:rsidRDefault="00EF4849" w:rsidP="007F57A6">
            <w:pPr>
              <w:pStyle w:val="TableText"/>
              <w:spacing w:line="276" w:lineRule="auto"/>
              <w:rPr>
                <w:sz w:val="20"/>
                <w:szCs w:val="20"/>
                <w:lang w:bidi="en-US"/>
              </w:rPr>
            </w:pPr>
          </w:p>
        </w:tc>
        <w:tc>
          <w:tcPr>
            <w:tcW w:w="218" w:type="dxa"/>
            <w:vAlign w:val="bottom"/>
          </w:tcPr>
          <w:p w14:paraId="6193069C" w14:textId="77777777" w:rsidR="00EF4849" w:rsidRPr="000E6F60" w:rsidRDefault="00EF4849" w:rsidP="007F57A6">
            <w:pPr>
              <w:pStyle w:val="TableText"/>
              <w:spacing w:line="276" w:lineRule="auto"/>
              <w:rPr>
                <w:sz w:val="20"/>
                <w:szCs w:val="20"/>
                <w:lang w:bidi="en-US"/>
              </w:rPr>
            </w:pPr>
          </w:p>
        </w:tc>
        <w:tc>
          <w:tcPr>
            <w:tcW w:w="1232" w:type="dxa"/>
            <w:vAlign w:val="bottom"/>
            <w:hideMark/>
          </w:tcPr>
          <w:p w14:paraId="60717E3D" w14:textId="77777777" w:rsidR="00EF4849" w:rsidRPr="000E6F60" w:rsidRDefault="00EF4849" w:rsidP="007F57A6">
            <w:pPr>
              <w:pStyle w:val="TableText"/>
              <w:spacing w:line="276" w:lineRule="auto"/>
              <w:rPr>
                <w:sz w:val="20"/>
                <w:szCs w:val="20"/>
                <w:lang w:bidi="en-US"/>
              </w:rPr>
            </w:pPr>
            <w:r w:rsidRPr="000E6F60">
              <w:rPr>
                <w:sz w:val="20"/>
                <w:szCs w:val="20"/>
                <w:lang w:bidi="en-US"/>
              </w:rPr>
              <w:t>Printed Name:</w:t>
            </w:r>
          </w:p>
        </w:tc>
        <w:tc>
          <w:tcPr>
            <w:tcW w:w="3541" w:type="dxa"/>
            <w:tcBorders>
              <w:top w:val="single" w:sz="4" w:space="0" w:color="auto"/>
              <w:left w:val="nil"/>
              <w:bottom w:val="single" w:sz="4" w:space="0" w:color="auto"/>
              <w:right w:val="nil"/>
            </w:tcBorders>
            <w:vAlign w:val="bottom"/>
          </w:tcPr>
          <w:p w14:paraId="7D04D5C1" w14:textId="77777777" w:rsidR="00EF4849" w:rsidRPr="000E6F60" w:rsidRDefault="00EF4849" w:rsidP="007F57A6">
            <w:pPr>
              <w:pStyle w:val="TableText"/>
              <w:spacing w:line="276" w:lineRule="auto"/>
              <w:rPr>
                <w:sz w:val="20"/>
                <w:szCs w:val="20"/>
                <w:lang w:bidi="en-US"/>
              </w:rPr>
            </w:pPr>
          </w:p>
        </w:tc>
      </w:tr>
      <w:tr w:rsidR="00EF4849" w:rsidRPr="00EF4849" w14:paraId="59B99B16" w14:textId="77777777" w:rsidTr="007F57A6">
        <w:trPr>
          <w:cantSplit/>
          <w:trHeight w:val="468"/>
          <w:jc w:val="center"/>
        </w:trPr>
        <w:tc>
          <w:tcPr>
            <w:tcW w:w="1256" w:type="dxa"/>
            <w:vAlign w:val="bottom"/>
            <w:hideMark/>
          </w:tcPr>
          <w:p w14:paraId="56767909" w14:textId="77777777" w:rsidR="00EF4849" w:rsidRPr="000E6F60" w:rsidRDefault="00EF4849" w:rsidP="007F57A6">
            <w:pPr>
              <w:pStyle w:val="TableText"/>
              <w:spacing w:line="276" w:lineRule="auto"/>
              <w:rPr>
                <w:sz w:val="20"/>
                <w:szCs w:val="20"/>
                <w:lang w:bidi="en-US"/>
              </w:rPr>
            </w:pPr>
            <w:r w:rsidRPr="000E6F60">
              <w:rPr>
                <w:sz w:val="20"/>
                <w:szCs w:val="20"/>
                <w:lang w:bidi="en-US"/>
              </w:rPr>
              <w:t>Title:</w:t>
            </w:r>
          </w:p>
        </w:tc>
        <w:tc>
          <w:tcPr>
            <w:tcW w:w="3499" w:type="dxa"/>
            <w:tcBorders>
              <w:top w:val="single" w:sz="4" w:space="0" w:color="auto"/>
              <w:left w:val="nil"/>
              <w:bottom w:val="single" w:sz="4" w:space="0" w:color="auto"/>
              <w:right w:val="nil"/>
            </w:tcBorders>
            <w:vAlign w:val="bottom"/>
          </w:tcPr>
          <w:p w14:paraId="1A0E2F87" w14:textId="77777777" w:rsidR="00EF4849" w:rsidRPr="000E6F60" w:rsidRDefault="00EF4849" w:rsidP="007F57A6">
            <w:pPr>
              <w:pStyle w:val="TableText"/>
              <w:spacing w:line="276" w:lineRule="auto"/>
              <w:rPr>
                <w:sz w:val="20"/>
                <w:szCs w:val="20"/>
                <w:lang w:bidi="en-US"/>
              </w:rPr>
            </w:pPr>
          </w:p>
        </w:tc>
        <w:tc>
          <w:tcPr>
            <w:tcW w:w="218" w:type="dxa"/>
            <w:vAlign w:val="bottom"/>
          </w:tcPr>
          <w:p w14:paraId="2D421F0B" w14:textId="77777777" w:rsidR="00EF4849" w:rsidRPr="000E6F60" w:rsidRDefault="00EF4849" w:rsidP="007F57A6">
            <w:pPr>
              <w:pStyle w:val="TableText"/>
              <w:spacing w:line="276" w:lineRule="auto"/>
              <w:rPr>
                <w:sz w:val="20"/>
                <w:szCs w:val="20"/>
                <w:lang w:bidi="en-US"/>
              </w:rPr>
            </w:pPr>
          </w:p>
        </w:tc>
        <w:tc>
          <w:tcPr>
            <w:tcW w:w="1232" w:type="dxa"/>
            <w:vAlign w:val="bottom"/>
            <w:hideMark/>
          </w:tcPr>
          <w:p w14:paraId="5CADAA08" w14:textId="77777777" w:rsidR="00EF4849" w:rsidRPr="000E6F60" w:rsidRDefault="00EF4849" w:rsidP="007F57A6">
            <w:pPr>
              <w:pStyle w:val="TableText"/>
              <w:spacing w:line="276" w:lineRule="auto"/>
              <w:rPr>
                <w:sz w:val="20"/>
                <w:szCs w:val="20"/>
                <w:lang w:bidi="en-US"/>
              </w:rPr>
            </w:pPr>
            <w:r w:rsidRPr="000E6F60">
              <w:rPr>
                <w:sz w:val="20"/>
                <w:szCs w:val="20"/>
                <w:lang w:bidi="en-US"/>
              </w:rPr>
              <w:t>Title:</w:t>
            </w:r>
          </w:p>
        </w:tc>
        <w:tc>
          <w:tcPr>
            <w:tcW w:w="3541" w:type="dxa"/>
            <w:tcBorders>
              <w:top w:val="single" w:sz="4" w:space="0" w:color="auto"/>
              <w:left w:val="nil"/>
              <w:bottom w:val="single" w:sz="4" w:space="0" w:color="auto"/>
              <w:right w:val="nil"/>
            </w:tcBorders>
            <w:vAlign w:val="bottom"/>
          </w:tcPr>
          <w:p w14:paraId="0D60E839" w14:textId="77777777" w:rsidR="00EF4849" w:rsidRPr="000E6F60" w:rsidRDefault="00EF4849" w:rsidP="007F57A6">
            <w:pPr>
              <w:pStyle w:val="TableText"/>
              <w:spacing w:line="276" w:lineRule="auto"/>
              <w:rPr>
                <w:sz w:val="20"/>
                <w:szCs w:val="20"/>
                <w:lang w:bidi="en-US"/>
              </w:rPr>
            </w:pPr>
          </w:p>
        </w:tc>
      </w:tr>
    </w:tbl>
    <w:p w14:paraId="54F32FAE" w14:textId="77777777" w:rsidR="003D3AF3" w:rsidRDefault="003D3AF3" w:rsidP="003D3AF3">
      <w:pPr>
        <w:jc w:val="both"/>
      </w:pPr>
    </w:p>
    <w:p w14:paraId="07CD8891" w14:textId="769C197D" w:rsidR="005718DD" w:rsidRDefault="005718DD">
      <w:pPr>
        <w:rPr>
          <w:caps/>
          <w:color w:val="40A289" w:themeColor="accent2"/>
          <w:sz w:val="48"/>
          <w:szCs w:val="48"/>
        </w:rPr>
      </w:pPr>
      <w:r>
        <w:rPr>
          <w:sz w:val="48"/>
          <w:szCs w:val="48"/>
        </w:rPr>
        <w:br w:type="page"/>
      </w:r>
    </w:p>
    <w:p w14:paraId="3288BC2A" w14:textId="67CDE1BA" w:rsidR="005718DD" w:rsidRDefault="005718DD" w:rsidP="004F149F">
      <w:pPr>
        <w:pStyle w:val="1Heading"/>
      </w:pPr>
      <w:r w:rsidRPr="005A1C71">
        <w:lastRenderedPageBreak/>
        <w:t>Exhibit A - Support Plan Descriptions</w:t>
      </w:r>
    </w:p>
    <w:p w14:paraId="42A7608A" w14:textId="47B186E6" w:rsidR="005718DD" w:rsidRPr="00BA2F7B" w:rsidRDefault="005718DD" w:rsidP="005718DD">
      <w:pPr>
        <w:pStyle w:val="1ListNumberMultilevel"/>
        <w:rPr>
          <w:sz w:val="24"/>
          <w:szCs w:val="24"/>
          <w:lang w:bidi="ar-SA"/>
        </w:rPr>
      </w:pPr>
      <w:r w:rsidRPr="00BA2F7B">
        <w:rPr>
          <w:sz w:val="24"/>
          <w:szCs w:val="24"/>
          <w:lang w:bidi="ar-SA"/>
        </w:rPr>
        <w:t>Estimated Service Levels</w:t>
      </w:r>
    </w:p>
    <w:tbl>
      <w:tblPr>
        <w:tblStyle w:val="GridTable1Light-Accent1"/>
        <w:tblW w:w="5000" w:type="pct"/>
        <w:tblLook w:val="0680" w:firstRow="0" w:lastRow="0" w:firstColumn="1" w:lastColumn="0" w:noHBand="1" w:noVBand="1"/>
      </w:tblPr>
      <w:tblGrid>
        <w:gridCol w:w="4668"/>
        <w:gridCol w:w="4682"/>
      </w:tblGrid>
      <w:tr w:rsidR="005718DD" w:rsidRPr="00BA2F7B" w14:paraId="7E87BC46" w14:textId="77777777" w:rsidTr="007F57A6">
        <w:trPr>
          <w:trHeight w:val="360"/>
        </w:trPr>
        <w:tc>
          <w:tcPr>
            <w:cnfStyle w:val="001000000000" w:firstRow="0" w:lastRow="0" w:firstColumn="1" w:lastColumn="0" w:oddVBand="0" w:evenVBand="0" w:oddHBand="0" w:evenHBand="0" w:firstRowFirstColumn="0" w:firstRowLastColumn="0" w:lastRowFirstColumn="0" w:lastRowLastColumn="0"/>
            <w:tcW w:w="5035" w:type="dxa"/>
            <w:shd w:val="clear" w:color="auto" w:fill="E5E9EC" w:themeFill="background2"/>
            <w:vAlign w:val="center"/>
            <w:hideMark/>
          </w:tcPr>
          <w:p w14:paraId="2A2F5A56" w14:textId="77777777" w:rsidR="005718DD" w:rsidRPr="00BA2F7B" w:rsidRDefault="005718DD" w:rsidP="007F57A6">
            <w:pPr>
              <w:pStyle w:val="TableText"/>
              <w:rPr>
                <w:rFonts w:eastAsia="Calibri"/>
              </w:rPr>
            </w:pPr>
            <w:r w:rsidRPr="00BA2F7B">
              <w:rPr>
                <w:rFonts w:eastAsia="Calibri"/>
              </w:rPr>
              <w:t>Support Ticket Type</w:t>
            </w:r>
          </w:p>
        </w:tc>
        <w:tc>
          <w:tcPr>
            <w:tcW w:w="5035" w:type="dxa"/>
            <w:shd w:val="clear" w:color="auto" w:fill="E5E9EC" w:themeFill="background2"/>
            <w:vAlign w:val="center"/>
            <w:hideMark/>
          </w:tcPr>
          <w:p w14:paraId="75A964AA" w14:textId="77777777" w:rsidR="005718DD" w:rsidRPr="00BA2F7B" w:rsidRDefault="005718DD" w:rsidP="007F57A6">
            <w:pPr>
              <w:pStyle w:val="TableText"/>
              <w:cnfStyle w:val="000000000000" w:firstRow="0" w:lastRow="0" w:firstColumn="0" w:lastColumn="0" w:oddVBand="0" w:evenVBand="0" w:oddHBand="0" w:evenHBand="0" w:firstRowFirstColumn="0" w:firstRowLastColumn="0" w:lastRowFirstColumn="0" w:lastRowLastColumn="0"/>
              <w:rPr>
                <w:rFonts w:eastAsia="Calibri"/>
                <w:b/>
              </w:rPr>
            </w:pPr>
            <w:r w:rsidRPr="00BA2F7B">
              <w:rPr>
                <w:rFonts w:eastAsia="Calibri"/>
                <w:b/>
              </w:rPr>
              <w:t>Initial Response Target</w:t>
            </w:r>
          </w:p>
        </w:tc>
      </w:tr>
      <w:tr w:rsidR="005718DD" w:rsidRPr="00BA2F7B" w14:paraId="156DCB51" w14:textId="77777777" w:rsidTr="007F57A6">
        <w:trPr>
          <w:trHeight w:val="360"/>
        </w:trPr>
        <w:tc>
          <w:tcPr>
            <w:cnfStyle w:val="001000000000" w:firstRow="0" w:lastRow="0" w:firstColumn="1" w:lastColumn="0" w:oddVBand="0" w:evenVBand="0" w:oddHBand="0" w:evenHBand="0" w:firstRowFirstColumn="0" w:firstRowLastColumn="0" w:lastRowFirstColumn="0" w:lastRowLastColumn="0"/>
            <w:tcW w:w="5035" w:type="dxa"/>
            <w:vAlign w:val="center"/>
            <w:hideMark/>
          </w:tcPr>
          <w:p w14:paraId="384EC6A3" w14:textId="77777777" w:rsidR="005718DD" w:rsidRPr="00BA2F7B" w:rsidRDefault="005718DD" w:rsidP="007F57A6">
            <w:pPr>
              <w:pStyle w:val="TableText"/>
            </w:pPr>
            <w:r w:rsidRPr="00BA2F7B">
              <w:t>Severity Level 1</w:t>
            </w:r>
          </w:p>
        </w:tc>
        <w:tc>
          <w:tcPr>
            <w:tcW w:w="5035" w:type="dxa"/>
            <w:vAlign w:val="center"/>
            <w:hideMark/>
          </w:tcPr>
          <w:p w14:paraId="412722C6" w14:textId="77777777" w:rsidR="005718DD" w:rsidRPr="00BA2F7B" w:rsidRDefault="005718DD" w:rsidP="007F57A6">
            <w:pPr>
              <w:pStyle w:val="TableText"/>
              <w:cnfStyle w:val="000000000000" w:firstRow="0" w:lastRow="0" w:firstColumn="0" w:lastColumn="0" w:oddVBand="0" w:evenVBand="0" w:oddHBand="0" w:evenHBand="0" w:firstRowFirstColumn="0" w:firstRowLastColumn="0" w:lastRowFirstColumn="0" w:lastRowLastColumn="0"/>
            </w:pPr>
            <w:r w:rsidRPr="00BA2F7B">
              <w:t>1 Hour from Initial Request (24x</w:t>
            </w:r>
            <w:proofErr w:type="gramStart"/>
            <w:r w:rsidRPr="00BA2F7B">
              <w:t>7)*</w:t>
            </w:r>
            <w:proofErr w:type="gramEnd"/>
            <w:r w:rsidRPr="00BA2F7B">
              <w:t>*</w:t>
            </w:r>
          </w:p>
        </w:tc>
      </w:tr>
      <w:tr w:rsidR="005718DD" w:rsidRPr="00BA2F7B" w14:paraId="3F21FB18" w14:textId="77777777" w:rsidTr="007F57A6">
        <w:trPr>
          <w:trHeight w:val="360"/>
        </w:trPr>
        <w:tc>
          <w:tcPr>
            <w:cnfStyle w:val="001000000000" w:firstRow="0" w:lastRow="0" w:firstColumn="1" w:lastColumn="0" w:oddVBand="0" w:evenVBand="0" w:oddHBand="0" w:evenHBand="0" w:firstRowFirstColumn="0" w:firstRowLastColumn="0" w:lastRowFirstColumn="0" w:lastRowLastColumn="0"/>
            <w:tcW w:w="5035" w:type="dxa"/>
            <w:vAlign w:val="center"/>
            <w:hideMark/>
          </w:tcPr>
          <w:p w14:paraId="301D9D8C" w14:textId="77777777" w:rsidR="005718DD" w:rsidRPr="00BA2F7B" w:rsidRDefault="005718DD" w:rsidP="007F57A6">
            <w:pPr>
              <w:pStyle w:val="TableText"/>
            </w:pPr>
            <w:r w:rsidRPr="00BA2F7B">
              <w:t>Severity Level 2</w:t>
            </w:r>
          </w:p>
        </w:tc>
        <w:tc>
          <w:tcPr>
            <w:tcW w:w="5035" w:type="dxa"/>
            <w:vAlign w:val="center"/>
            <w:hideMark/>
          </w:tcPr>
          <w:p w14:paraId="7B31C365" w14:textId="77777777" w:rsidR="005718DD" w:rsidRPr="00BA2F7B" w:rsidRDefault="005718DD" w:rsidP="007F57A6">
            <w:pPr>
              <w:pStyle w:val="TableText"/>
              <w:cnfStyle w:val="000000000000" w:firstRow="0" w:lastRow="0" w:firstColumn="0" w:lastColumn="0" w:oddVBand="0" w:evenVBand="0" w:oddHBand="0" w:evenHBand="0" w:firstRowFirstColumn="0" w:firstRowLastColumn="0" w:lastRowFirstColumn="0" w:lastRowLastColumn="0"/>
            </w:pPr>
            <w:r w:rsidRPr="00BA2F7B">
              <w:t>2 Hours from Initial Request (24x</w:t>
            </w:r>
            <w:proofErr w:type="gramStart"/>
            <w:r w:rsidRPr="00BA2F7B">
              <w:t>7)*</w:t>
            </w:r>
            <w:proofErr w:type="gramEnd"/>
            <w:r w:rsidRPr="00BA2F7B">
              <w:t>*</w:t>
            </w:r>
          </w:p>
        </w:tc>
      </w:tr>
      <w:tr w:rsidR="005718DD" w:rsidRPr="00BA2F7B" w14:paraId="73DC7234" w14:textId="77777777" w:rsidTr="007F57A6">
        <w:trPr>
          <w:trHeight w:val="360"/>
        </w:trPr>
        <w:tc>
          <w:tcPr>
            <w:cnfStyle w:val="001000000000" w:firstRow="0" w:lastRow="0" w:firstColumn="1" w:lastColumn="0" w:oddVBand="0" w:evenVBand="0" w:oddHBand="0" w:evenHBand="0" w:firstRowFirstColumn="0" w:firstRowLastColumn="0" w:lastRowFirstColumn="0" w:lastRowLastColumn="0"/>
            <w:tcW w:w="5035" w:type="dxa"/>
            <w:vAlign w:val="center"/>
            <w:hideMark/>
          </w:tcPr>
          <w:p w14:paraId="15AA95DF" w14:textId="77777777" w:rsidR="005718DD" w:rsidRPr="00BA2F7B" w:rsidRDefault="005718DD" w:rsidP="007F57A6">
            <w:pPr>
              <w:pStyle w:val="TableText"/>
            </w:pPr>
            <w:r w:rsidRPr="00BA2F7B">
              <w:t>Severity Level 3</w:t>
            </w:r>
          </w:p>
        </w:tc>
        <w:tc>
          <w:tcPr>
            <w:tcW w:w="5035" w:type="dxa"/>
            <w:vAlign w:val="center"/>
            <w:hideMark/>
          </w:tcPr>
          <w:p w14:paraId="4C4450CC" w14:textId="77777777" w:rsidR="005718DD" w:rsidRPr="00BA2F7B" w:rsidRDefault="005718DD" w:rsidP="007F57A6">
            <w:pPr>
              <w:pStyle w:val="TableText"/>
              <w:cnfStyle w:val="000000000000" w:firstRow="0" w:lastRow="0" w:firstColumn="0" w:lastColumn="0" w:oddVBand="0" w:evenVBand="0" w:oddHBand="0" w:evenHBand="0" w:firstRowFirstColumn="0" w:firstRowLastColumn="0" w:lastRowFirstColumn="0" w:lastRowLastColumn="0"/>
            </w:pPr>
            <w:r w:rsidRPr="00BA2F7B">
              <w:t>1 Business Day from Initial Request*</w:t>
            </w:r>
            <w:r w:rsidRPr="00BA2F7B">
              <w:rPr>
                <w:vertAlign w:val="superscript"/>
              </w:rPr>
              <w:t xml:space="preserve">, </w:t>
            </w:r>
            <w:r w:rsidRPr="00BA2F7B">
              <w:t>**</w:t>
            </w:r>
          </w:p>
        </w:tc>
      </w:tr>
    </w:tbl>
    <w:p w14:paraId="6B163BC2" w14:textId="77777777" w:rsidR="005718DD" w:rsidRPr="00BA2F7B" w:rsidRDefault="005718DD" w:rsidP="005718DD">
      <w:pPr>
        <w:pStyle w:val="BaseText"/>
        <w:rPr>
          <w:szCs w:val="24"/>
          <w:lang w:bidi="ar-SA"/>
        </w:rPr>
      </w:pPr>
      <w:r w:rsidRPr="00BA2F7B">
        <w:rPr>
          <w:szCs w:val="24"/>
          <w:lang w:bidi="ar-SA"/>
        </w:rPr>
        <w:t>*Excepting requests that require a patch or new functionality.</w:t>
      </w:r>
      <w:r w:rsidRPr="00BA2F7B">
        <w:rPr>
          <w:szCs w:val="24"/>
          <w:lang w:bidi="ar-SA"/>
        </w:rPr>
        <w:br/>
        <w:t xml:space="preserve">**Standard support Customers: 85% commitment to achieving response SLA guarantee. </w:t>
      </w:r>
      <w:r w:rsidRPr="00BA2F7B">
        <w:rPr>
          <w:szCs w:val="24"/>
          <w:lang w:bidi="ar-SA"/>
        </w:rPr>
        <w:br/>
        <w:t>**Premium support Customers: 98% commitment to achieving response SLA guarantee.</w:t>
      </w:r>
    </w:p>
    <w:p w14:paraId="4EFF7FE1" w14:textId="77777777" w:rsidR="005718DD" w:rsidRPr="00BA2F7B" w:rsidRDefault="005718DD" w:rsidP="005718DD">
      <w:pPr>
        <w:pStyle w:val="1ListNumberMultilevel"/>
        <w:jc w:val="both"/>
        <w:rPr>
          <w:rStyle w:val="Ch-Bold"/>
          <w:b w:val="0"/>
          <w:sz w:val="24"/>
          <w:szCs w:val="24"/>
        </w:rPr>
      </w:pPr>
      <w:r w:rsidRPr="00BA2F7B">
        <w:rPr>
          <w:rStyle w:val="Ch-Bold"/>
          <w:b w:val="0"/>
          <w:sz w:val="24"/>
          <w:szCs w:val="24"/>
        </w:rPr>
        <w:t>Severity Level Definitions</w:t>
      </w:r>
    </w:p>
    <w:p w14:paraId="3AD9C510" w14:textId="77777777" w:rsidR="005718DD" w:rsidRPr="00BA2F7B" w:rsidRDefault="005718DD" w:rsidP="005718DD">
      <w:pPr>
        <w:pStyle w:val="2ListNumberMultilevel"/>
        <w:jc w:val="both"/>
        <w:rPr>
          <w:sz w:val="24"/>
          <w:szCs w:val="24"/>
        </w:rPr>
      </w:pPr>
      <w:r w:rsidRPr="00BA2F7B">
        <w:rPr>
          <w:b/>
          <w:sz w:val="24"/>
          <w:szCs w:val="24"/>
        </w:rPr>
        <w:t>Severity 1:</w:t>
      </w:r>
      <w:r w:rsidRPr="00BA2F7B">
        <w:rPr>
          <w:sz w:val="24"/>
          <w:szCs w:val="24"/>
        </w:rPr>
        <w:t xml:space="preserve">  A critical problem that renders one or more key functions of the DCT unusable, no reasonable work around exists, and for which immediate resolution is required to meet processing deadlines.</w:t>
      </w:r>
    </w:p>
    <w:p w14:paraId="4F69C6FC" w14:textId="77777777" w:rsidR="005718DD" w:rsidRPr="00BA2F7B" w:rsidRDefault="005718DD" w:rsidP="005718DD">
      <w:pPr>
        <w:pStyle w:val="2ListNumberMultilevel"/>
        <w:jc w:val="both"/>
        <w:rPr>
          <w:sz w:val="24"/>
          <w:szCs w:val="24"/>
        </w:rPr>
      </w:pPr>
      <w:r w:rsidRPr="00BA2F7B">
        <w:rPr>
          <w:b/>
          <w:sz w:val="24"/>
          <w:szCs w:val="24"/>
        </w:rPr>
        <w:t>Severity 2:</w:t>
      </w:r>
      <w:r w:rsidRPr="00BA2F7B">
        <w:rPr>
          <w:sz w:val="24"/>
          <w:szCs w:val="24"/>
        </w:rPr>
        <w:t xml:space="preserve">  Any other critical problem that renders one or more key functions unusable.</w:t>
      </w:r>
    </w:p>
    <w:p w14:paraId="28039906" w14:textId="77777777" w:rsidR="005718DD" w:rsidRPr="00BA2F7B" w:rsidRDefault="005718DD" w:rsidP="005718DD">
      <w:pPr>
        <w:pStyle w:val="2ListNumberMultilevel"/>
        <w:jc w:val="both"/>
        <w:rPr>
          <w:sz w:val="24"/>
          <w:szCs w:val="24"/>
        </w:rPr>
      </w:pPr>
      <w:r w:rsidRPr="00BA2F7B">
        <w:rPr>
          <w:b/>
          <w:sz w:val="24"/>
          <w:szCs w:val="24"/>
        </w:rPr>
        <w:t>Severity 3:</w:t>
      </w:r>
      <w:r w:rsidRPr="00BA2F7B">
        <w:rPr>
          <w:sz w:val="24"/>
          <w:szCs w:val="24"/>
        </w:rPr>
        <w:t xml:space="preserve">  Any other problem with the DCT that is not at the Severity 1 or Severity 2 level.</w:t>
      </w:r>
    </w:p>
    <w:p w14:paraId="2D124F1A" w14:textId="77777777" w:rsidR="005718DD" w:rsidRPr="00BA2F7B" w:rsidRDefault="005718DD" w:rsidP="005718DD">
      <w:pPr>
        <w:pStyle w:val="1ListNumberMultilevel"/>
        <w:jc w:val="both"/>
        <w:rPr>
          <w:sz w:val="24"/>
          <w:szCs w:val="24"/>
          <w:lang w:bidi="ar-SA"/>
        </w:rPr>
      </w:pPr>
      <w:r w:rsidRPr="00BA2F7B">
        <w:rPr>
          <w:sz w:val="24"/>
          <w:szCs w:val="24"/>
          <w:lang w:bidi="ar-SA"/>
        </w:rPr>
        <w:t xml:space="preserve">General Plan Definitions, </w:t>
      </w:r>
      <w:proofErr w:type="gramStart"/>
      <w:r w:rsidRPr="00BA2F7B">
        <w:rPr>
          <w:sz w:val="24"/>
          <w:szCs w:val="24"/>
          <w:lang w:bidi="ar-SA"/>
        </w:rPr>
        <w:t>Hours</w:t>
      </w:r>
      <w:proofErr w:type="gramEnd"/>
      <w:r w:rsidRPr="00BA2F7B">
        <w:rPr>
          <w:sz w:val="24"/>
          <w:szCs w:val="24"/>
          <w:lang w:bidi="ar-SA"/>
        </w:rPr>
        <w:t xml:space="preserve"> and Availability </w:t>
      </w:r>
    </w:p>
    <w:p w14:paraId="32715CB5" w14:textId="77777777" w:rsidR="005718DD" w:rsidRPr="00BA2F7B" w:rsidRDefault="005718DD" w:rsidP="005718DD">
      <w:pPr>
        <w:pStyle w:val="2ListNumberMultilevel"/>
        <w:jc w:val="both"/>
        <w:rPr>
          <w:sz w:val="24"/>
          <w:szCs w:val="24"/>
        </w:rPr>
      </w:pPr>
      <w:r w:rsidRPr="00BA2F7B">
        <w:rPr>
          <w:sz w:val="24"/>
          <w:szCs w:val="24"/>
        </w:rPr>
        <w:t>Response time is the time from Customer’s call into WFS until a return call is provided. All communication shall be in English.</w:t>
      </w:r>
    </w:p>
    <w:p w14:paraId="41FE5170" w14:textId="77777777" w:rsidR="005718DD" w:rsidRPr="00BA2F7B" w:rsidRDefault="005718DD" w:rsidP="005718DD">
      <w:pPr>
        <w:pStyle w:val="2ListNumberMultilevel"/>
        <w:jc w:val="both"/>
        <w:rPr>
          <w:sz w:val="24"/>
          <w:szCs w:val="24"/>
        </w:rPr>
      </w:pPr>
      <w:r w:rsidRPr="00BA2F7B">
        <w:rPr>
          <w:sz w:val="24"/>
          <w:szCs w:val="24"/>
        </w:rPr>
        <w:t>WFS support will make analysts available for phone contact Monday through Friday from 8:00 am – 6:00 pm during the business hours observed in Customer’s time zone (where Customer’s headquarters are located), excluding the holidays listed below. For the purposes of this document, those business hours will be described as “Standard Support Call Times.”</w:t>
      </w:r>
    </w:p>
    <w:p w14:paraId="54870CAE" w14:textId="77777777" w:rsidR="005718DD" w:rsidRPr="00BA2F7B" w:rsidRDefault="005718DD" w:rsidP="005718DD">
      <w:pPr>
        <w:pStyle w:val="2ListNumberMultilevel"/>
        <w:jc w:val="both"/>
        <w:rPr>
          <w:sz w:val="24"/>
          <w:szCs w:val="24"/>
        </w:rPr>
      </w:pPr>
      <w:r w:rsidRPr="00BA2F7B">
        <w:rPr>
          <w:sz w:val="24"/>
          <w:szCs w:val="24"/>
        </w:rPr>
        <w:t xml:space="preserve">WFS and its support staff observe public holidays </w:t>
      </w:r>
      <w:proofErr w:type="gramStart"/>
      <w:r w:rsidRPr="00BA2F7B">
        <w:rPr>
          <w:sz w:val="24"/>
          <w:szCs w:val="24"/>
        </w:rPr>
        <w:t>of</w:t>
      </w:r>
      <w:proofErr w:type="gramEnd"/>
      <w:r w:rsidRPr="00BA2F7B">
        <w:rPr>
          <w:sz w:val="24"/>
          <w:szCs w:val="24"/>
        </w:rPr>
        <w:t xml:space="preserve"> England, New South </w:t>
      </w:r>
      <w:proofErr w:type="gramStart"/>
      <w:r w:rsidRPr="00BA2F7B">
        <w:rPr>
          <w:sz w:val="24"/>
          <w:szCs w:val="24"/>
        </w:rPr>
        <w:t>Wales</w:t>
      </w:r>
      <w:proofErr w:type="gramEnd"/>
      <w:r w:rsidRPr="00BA2F7B">
        <w:rPr>
          <w:sz w:val="24"/>
          <w:szCs w:val="24"/>
        </w:rPr>
        <w:t xml:space="preserve"> or U.S federal holidays. No live support is offered to Customer on those days, except for Severity Level 1 and Severity Level 2 issues.</w:t>
      </w:r>
    </w:p>
    <w:p w14:paraId="5BFE44A1" w14:textId="2409091C" w:rsidR="005718DD" w:rsidRDefault="005718DD" w:rsidP="005718DD">
      <w:pPr>
        <w:pStyle w:val="2ListNumberMultilevel"/>
        <w:jc w:val="both"/>
        <w:rPr>
          <w:sz w:val="24"/>
          <w:szCs w:val="24"/>
        </w:rPr>
      </w:pPr>
      <w:r w:rsidRPr="00BA2F7B">
        <w:rPr>
          <w:sz w:val="24"/>
          <w:szCs w:val="24"/>
        </w:rPr>
        <w:t>WFS provides Live Phone Support coverage for critical issues outside of Standard Support Call Times as defined below:</w:t>
      </w:r>
    </w:p>
    <w:tbl>
      <w:tblPr>
        <w:tblStyle w:val="GridTable1Light-Accent1"/>
        <w:tblW w:w="4178" w:type="pct"/>
        <w:tblInd w:w="1159" w:type="dxa"/>
        <w:tblLook w:val="0680" w:firstRow="0" w:lastRow="0" w:firstColumn="1" w:lastColumn="0" w:noHBand="1" w:noVBand="1"/>
      </w:tblPr>
      <w:tblGrid>
        <w:gridCol w:w="3900"/>
        <w:gridCol w:w="3913"/>
      </w:tblGrid>
      <w:tr w:rsidR="00124F47" w:rsidRPr="00BA2F7B" w14:paraId="06CE7E91" w14:textId="77777777" w:rsidTr="00124F47">
        <w:trPr>
          <w:trHeight w:val="508"/>
        </w:trPr>
        <w:tc>
          <w:tcPr>
            <w:cnfStyle w:val="001000000000" w:firstRow="0" w:lastRow="0" w:firstColumn="1" w:lastColumn="0" w:oddVBand="0" w:evenVBand="0" w:oddHBand="0" w:evenHBand="0" w:firstRowFirstColumn="0" w:firstRowLastColumn="0" w:lastRowFirstColumn="0" w:lastRowLastColumn="0"/>
            <w:tcW w:w="7813" w:type="dxa"/>
            <w:gridSpan w:val="2"/>
            <w:shd w:val="clear" w:color="auto" w:fill="E5E9EC" w:themeFill="background2"/>
            <w:vAlign w:val="center"/>
            <w:hideMark/>
          </w:tcPr>
          <w:p w14:paraId="3E4C0E54" w14:textId="04034DD5" w:rsidR="00124F47" w:rsidRPr="00BA2F7B" w:rsidRDefault="00124F47" w:rsidP="007F57A6">
            <w:pPr>
              <w:pStyle w:val="TableText"/>
              <w:rPr>
                <w:rFonts w:eastAsia="Calibri"/>
                <w:b w:val="0"/>
              </w:rPr>
            </w:pPr>
            <w:r w:rsidRPr="00BA2F7B">
              <w:t>24 x 7 Live Phone Support</w:t>
            </w:r>
          </w:p>
        </w:tc>
      </w:tr>
      <w:tr w:rsidR="00124F47" w:rsidRPr="00BA2F7B" w14:paraId="7B2D5E49" w14:textId="77777777" w:rsidTr="00124F47">
        <w:trPr>
          <w:trHeight w:val="508"/>
        </w:trPr>
        <w:tc>
          <w:tcPr>
            <w:cnfStyle w:val="001000000000" w:firstRow="0" w:lastRow="0" w:firstColumn="1" w:lastColumn="0" w:oddVBand="0" w:evenVBand="0" w:oddHBand="0" w:evenHBand="0" w:firstRowFirstColumn="0" w:firstRowLastColumn="0" w:lastRowFirstColumn="0" w:lastRowLastColumn="0"/>
            <w:tcW w:w="3900" w:type="dxa"/>
            <w:vAlign w:val="center"/>
            <w:hideMark/>
          </w:tcPr>
          <w:p w14:paraId="3ADA302E" w14:textId="77777777" w:rsidR="00124F47" w:rsidRPr="00BA2F7B" w:rsidRDefault="00124F47" w:rsidP="007F57A6">
            <w:pPr>
              <w:pStyle w:val="TableText"/>
            </w:pPr>
            <w:r w:rsidRPr="00BA2F7B">
              <w:t>Severity Level 1</w:t>
            </w:r>
          </w:p>
        </w:tc>
        <w:tc>
          <w:tcPr>
            <w:tcW w:w="3912" w:type="dxa"/>
            <w:vAlign w:val="center"/>
            <w:hideMark/>
          </w:tcPr>
          <w:p w14:paraId="5F7734B1" w14:textId="55FBF59E" w:rsidR="00124F47" w:rsidRPr="00BA2F7B" w:rsidRDefault="00124F47" w:rsidP="007F57A6">
            <w:pPr>
              <w:pStyle w:val="TableText"/>
              <w:cnfStyle w:val="000000000000" w:firstRow="0" w:lastRow="0" w:firstColumn="0" w:lastColumn="0" w:oddVBand="0" w:evenVBand="0" w:oddHBand="0" w:evenHBand="0" w:firstRowFirstColumn="0" w:firstRowLastColumn="0" w:lastRowFirstColumn="0" w:lastRowLastColumn="0"/>
            </w:pPr>
            <w:r w:rsidRPr="00BA2F7B">
              <w:t>Included</w:t>
            </w:r>
            <w:r w:rsidRPr="00BA2F7B">
              <w:tab/>
            </w:r>
          </w:p>
        </w:tc>
      </w:tr>
      <w:tr w:rsidR="00124F47" w:rsidRPr="00BA2F7B" w14:paraId="7403E6F0" w14:textId="77777777" w:rsidTr="00124F47">
        <w:trPr>
          <w:trHeight w:val="508"/>
        </w:trPr>
        <w:tc>
          <w:tcPr>
            <w:cnfStyle w:val="001000000000" w:firstRow="0" w:lastRow="0" w:firstColumn="1" w:lastColumn="0" w:oddVBand="0" w:evenVBand="0" w:oddHBand="0" w:evenHBand="0" w:firstRowFirstColumn="0" w:firstRowLastColumn="0" w:lastRowFirstColumn="0" w:lastRowLastColumn="0"/>
            <w:tcW w:w="3900" w:type="dxa"/>
            <w:vAlign w:val="center"/>
            <w:hideMark/>
          </w:tcPr>
          <w:p w14:paraId="16871D9E" w14:textId="77777777" w:rsidR="00124F47" w:rsidRPr="00BA2F7B" w:rsidRDefault="00124F47" w:rsidP="007F57A6">
            <w:pPr>
              <w:pStyle w:val="TableText"/>
            </w:pPr>
            <w:r w:rsidRPr="00BA2F7B">
              <w:lastRenderedPageBreak/>
              <w:t>Severity Level 2</w:t>
            </w:r>
          </w:p>
        </w:tc>
        <w:tc>
          <w:tcPr>
            <w:tcW w:w="3912" w:type="dxa"/>
            <w:vAlign w:val="center"/>
            <w:hideMark/>
          </w:tcPr>
          <w:p w14:paraId="5887FD0E" w14:textId="379CF9F9" w:rsidR="00124F47" w:rsidRPr="00BA2F7B" w:rsidRDefault="00124F47" w:rsidP="007F57A6">
            <w:pPr>
              <w:pStyle w:val="TableText"/>
              <w:cnfStyle w:val="000000000000" w:firstRow="0" w:lastRow="0" w:firstColumn="0" w:lastColumn="0" w:oddVBand="0" w:evenVBand="0" w:oddHBand="0" w:evenHBand="0" w:firstRowFirstColumn="0" w:firstRowLastColumn="0" w:lastRowFirstColumn="0" w:lastRowLastColumn="0"/>
            </w:pPr>
            <w:r w:rsidRPr="00BA2F7B">
              <w:t>Included</w:t>
            </w:r>
          </w:p>
        </w:tc>
      </w:tr>
      <w:tr w:rsidR="00124F47" w:rsidRPr="00BA2F7B" w14:paraId="633D9CE8" w14:textId="77777777" w:rsidTr="00124F47">
        <w:trPr>
          <w:trHeight w:val="508"/>
        </w:trPr>
        <w:tc>
          <w:tcPr>
            <w:cnfStyle w:val="001000000000" w:firstRow="0" w:lastRow="0" w:firstColumn="1" w:lastColumn="0" w:oddVBand="0" w:evenVBand="0" w:oddHBand="0" w:evenHBand="0" w:firstRowFirstColumn="0" w:firstRowLastColumn="0" w:lastRowFirstColumn="0" w:lastRowLastColumn="0"/>
            <w:tcW w:w="3900" w:type="dxa"/>
            <w:vAlign w:val="center"/>
            <w:hideMark/>
          </w:tcPr>
          <w:p w14:paraId="54BF71C2" w14:textId="77777777" w:rsidR="00124F47" w:rsidRPr="00BA2F7B" w:rsidRDefault="00124F47" w:rsidP="007F57A6">
            <w:pPr>
              <w:pStyle w:val="TableText"/>
            </w:pPr>
            <w:r w:rsidRPr="00BA2F7B">
              <w:t>Severity Level 3</w:t>
            </w:r>
          </w:p>
        </w:tc>
        <w:tc>
          <w:tcPr>
            <w:tcW w:w="3912" w:type="dxa"/>
            <w:vAlign w:val="center"/>
            <w:hideMark/>
          </w:tcPr>
          <w:p w14:paraId="4F7C00F5" w14:textId="07E91F7A" w:rsidR="00124F47" w:rsidRPr="00BA2F7B" w:rsidRDefault="00124F47" w:rsidP="007F57A6">
            <w:pPr>
              <w:pStyle w:val="TableText"/>
              <w:cnfStyle w:val="000000000000" w:firstRow="0" w:lastRow="0" w:firstColumn="0" w:lastColumn="0" w:oddVBand="0" w:evenVBand="0" w:oddHBand="0" w:evenHBand="0" w:firstRowFirstColumn="0" w:firstRowLastColumn="0" w:lastRowFirstColumn="0" w:lastRowLastColumn="0"/>
            </w:pPr>
            <w:r w:rsidRPr="00BA2F7B">
              <w:t>Will be addressed according to the Estimated Resolution Target</w:t>
            </w:r>
          </w:p>
        </w:tc>
      </w:tr>
    </w:tbl>
    <w:p w14:paraId="7A9670E9" w14:textId="77777777" w:rsidR="005718DD" w:rsidRPr="00BA2F7B" w:rsidRDefault="005718DD" w:rsidP="005718DD">
      <w:pPr>
        <w:pStyle w:val="NoSpace"/>
        <w:rPr>
          <w:lang w:bidi="ar-SA"/>
        </w:rPr>
      </w:pPr>
    </w:p>
    <w:p w14:paraId="7876900E" w14:textId="77777777" w:rsidR="005718DD" w:rsidRPr="00BA2F7B" w:rsidRDefault="005718DD" w:rsidP="005718DD">
      <w:pPr>
        <w:pStyle w:val="2ListNumberMultilevel"/>
        <w:jc w:val="both"/>
        <w:rPr>
          <w:sz w:val="24"/>
          <w:szCs w:val="24"/>
          <w:lang w:bidi="ar-SA"/>
        </w:rPr>
      </w:pPr>
      <w:r w:rsidRPr="00BA2F7B">
        <w:rPr>
          <w:sz w:val="24"/>
          <w:szCs w:val="24"/>
          <w:lang w:bidi="ar-SA"/>
        </w:rPr>
        <w:t xml:space="preserve">WFS may modify the service levels, fees, and offerings of any Support Plan, but such changes shall not apply to the Support Plan for the current Support term. </w:t>
      </w:r>
    </w:p>
    <w:p w14:paraId="77815B33" w14:textId="77777777" w:rsidR="005718DD" w:rsidRPr="00BA2F7B" w:rsidRDefault="005718DD" w:rsidP="005718DD">
      <w:pPr>
        <w:pStyle w:val="2ListNumberMultilevel"/>
        <w:jc w:val="both"/>
        <w:rPr>
          <w:sz w:val="24"/>
          <w:szCs w:val="24"/>
          <w:lang w:bidi="ar-SA"/>
        </w:rPr>
      </w:pPr>
      <w:r w:rsidRPr="00BA2F7B">
        <w:rPr>
          <w:sz w:val="24"/>
          <w:szCs w:val="24"/>
          <w:lang w:bidi="ar-SA"/>
        </w:rPr>
        <w:t xml:space="preserve">WFS support will address reported “defects” to WFS DCT’s, which result in a loss of previously available functionality and performance. </w:t>
      </w:r>
    </w:p>
    <w:p w14:paraId="3894A5F2" w14:textId="77777777" w:rsidR="005718DD" w:rsidRPr="00BA2F7B" w:rsidRDefault="005718DD" w:rsidP="005718DD">
      <w:pPr>
        <w:pStyle w:val="2ListNumberMultilevel"/>
        <w:jc w:val="both"/>
        <w:rPr>
          <w:sz w:val="24"/>
          <w:szCs w:val="24"/>
          <w:lang w:bidi="ar-SA"/>
        </w:rPr>
      </w:pPr>
      <w:proofErr w:type="gramStart"/>
      <w:r w:rsidRPr="00BA2F7B">
        <w:rPr>
          <w:sz w:val="24"/>
          <w:szCs w:val="24"/>
          <w:lang w:bidi="ar-SA"/>
        </w:rPr>
        <w:t>Customer</w:t>
      </w:r>
      <w:proofErr w:type="gramEnd"/>
      <w:r w:rsidRPr="00BA2F7B">
        <w:rPr>
          <w:sz w:val="24"/>
          <w:szCs w:val="24"/>
          <w:lang w:bidi="ar-SA"/>
        </w:rPr>
        <w:t xml:space="preserve"> selecting Standard Support </w:t>
      </w:r>
      <w:proofErr w:type="gramStart"/>
      <w:r w:rsidRPr="00BA2F7B">
        <w:rPr>
          <w:sz w:val="24"/>
          <w:szCs w:val="24"/>
          <w:lang w:bidi="ar-SA"/>
        </w:rPr>
        <w:t>are able to</w:t>
      </w:r>
      <w:proofErr w:type="gramEnd"/>
      <w:r w:rsidRPr="00BA2F7B">
        <w:rPr>
          <w:sz w:val="24"/>
          <w:szCs w:val="24"/>
          <w:lang w:bidi="ar-SA"/>
        </w:rPr>
        <w:t xml:space="preserve"> elect up to two (2) authorized contacts. Premium Support Customers </w:t>
      </w:r>
      <w:proofErr w:type="gramStart"/>
      <w:r w:rsidRPr="00BA2F7B">
        <w:rPr>
          <w:sz w:val="24"/>
          <w:szCs w:val="24"/>
          <w:lang w:bidi="ar-SA"/>
        </w:rPr>
        <w:t>are able to</w:t>
      </w:r>
      <w:proofErr w:type="gramEnd"/>
      <w:r w:rsidRPr="00BA2F7B">
        <w:rPr>
          <w:sz w:val="24"/>
          <w:szCs w:val="24"/>
          <w:lang w:bidi="ar-SA"/>
        </w:rPr>
        <w:t xml:space="preserve"> elect up to six (6) support contacts.</w:t>
      </w:r>
    </w:p>
    <w:p w14:paraId="39AEF67A" w14:textId="77777777" w:rsidR="005718DD" w:rsidRPr="00BA2F7B" w:rsidRDefault="005718DD" w:rsidP="005718DD">
      <w:pPr>
        <w:pStyle w:val="1ListNumberMultilevel"/>
        <w:jc w:val="both"/>
        <w:rPr>
          <w:sz w:val="24"/>
          <w:szCs w:val="24"/>
          <w:lang w:bidi="ar-SA"/>
        </w:rPr>
      </w:pPr>
      <w:r w:rsidRPr="00BA2F7B">
        <w:rPr>
          <w:sz w:val="24"/>
          <w:szCs w:val="24"/>
          <w:lang w:bidi="ar-SA"/>
        </w:rPr>
        <w:t>Data Collection Terminals</w:t>
      </w:r>
    </w:p>
    <w:p w14:paraId="08327DB1" w14:textId="77777777" w:rsidR="005718DD" w:rsidRPr="00BA2F7B" w:rsidRDefault="005718DD" w:rsidP="005718DD">
      <w:pPr>
        <w:pStyle w:val="2ListNumberMultilevel"/>
        <w:jc w:val="both"/>
        <w:rPr>
          <w:sz w:val="24"/>
          <w:szCs w:val="24"/>
        </w:rPr>
      </w:pPr>
      <w:r w:rsidRPr="00BA2F7B">
        <w:rPr>
          <w:sz w:val="24"/>
          <w:szCs w:val="24"/>
        </w:rPr>
        <w:t xml:space="preserve">“DCT” shall mean the data collection terminal(s) rented or purchased under an applicable Schedule. If the DCT is rented by the Customer under a Hardware Rental Schedule, the term of the DCT Support Plan shall match the term of the rental. If the DCT is purchased by the Customer under a Hardware Purchase Schedule, the term of the DCT Support Plan shall be listed in the applicable Schedule, subject to any renewal terms. </w:t>
      </w:r>
    </w:p>
    <w:p w14:paraId="140C9AD6" w14:textId="77777777" w:rsidR="005718DD" w:rsidRPr="00BA2F7B" w:rsidRDefault="005718DD" w:rsidP="005718DD">
      <w:pPr>
        <w:pStyle w:val="2ListNumberMultilevel"/>
        <w:jc w:val="both"/>
        <w:rPr>
          <w:sz w:val="24"/>
          <w:szCs w:val="24"/>
        </w:rPr>
      </w:pPr>
      <w:r w:rsidRPr="00BA2F7B">
        <w:rPr>
          <w:sz w:val="24"/>
          <w:szCs w:val="24"/>
        </w:rPr>
        <w:t>Both Support Plans cover the cost of parts, labor, and shipping to Customer’s facility for any covered repairs for manufacturer’s defects and manufacturer’s workmanship of the DCT.  Customer is responsible for shipping charges to WFS.  To make a support claim, Customer shall first contact WFS and speak to the WFS support department.  After diagnosis and upon authorization, Customer will be provided shipping instructions to return the unit to WFS for repair.</w:t>
      </w:r>
    </w:p>
    <w:p w14:paraId="429CCBAC" w14:textId="77777777" w:rsidR="005718DD" w:rsidRPr="00BA2F7B" w:rsidRDefault="005718DD" w:rsidP="005718DD">
      <w:pPr>
        <w:pStyle w:val="3ListNumberMultilevel"/>
        <w:jc w:val="both"/>
        <w:rPr>
          <w:sz w:val="24"/>
          <w:szCs w:val="24"/>
        </w:rPr>
      </w:pPr>
      <w:r w:rsidRPr="00BA2F7B">
        <w:rPr>
          <w:sz w:val="24"/>
          <w:szCs w:val="24"/>
        </w:rPr>
        <w:t>Under Standard Support, WFS repairs the DCT, or if in its opinion such repair cannot be made, it will provide a replacement DCT.  Repairs are generally completed within 5-10 business days. WFS makes no delivery guarantees for delays caused by international shipping or customs.   WFS will return units to the Customer at no charge via ground shipping.  Alternate shipping methods may be selected by the Customer at an additional charge.</w:t>
      </w:r>
    </w:p>
    <w:p w14:paraId="143E6DB6" w14:textId="77777777" w:rsidR="005718DD" w:rsidRPr="00BA2F7B" w:rsidRDefault="005718DD" w:rsidP="005718DD">
      <w:pPr>
        <w:pStyle w:val="3ListNumberMultilevel"/>
        <w:jc w:val="both"/>
        <w:rPr>
          <w:sz w:val="24"/>
          <w:szCs w:val="24"/>
        </w:rPr>
      </w:pPr>
      <w:r w:rsidRPr="00BA2F7B">
        <w:rPr>
          <w:sz w:val="24"/>
          <w:szCs w:val="24"/>
        </w:rPr>
        <w:t xml:space="preserve">Under Premium Support, WFS ships a replacement DCT overnight at no cost to Customer the same business day (or the next business day for calls after 3 pm Eastern Time). WFS makes no delivery guarantees for delays caused by international shipping or customs.  Customer ships the faulty DCT to WFS concurrently via ground shipping.  If the faulty DCT is not received within ten (10) business days, Customer will be invoiced for the DCT shipped.  </w:t>
      </w:r>
    </w:p>
    <w:p w14:paraId="3A03ABFF" w14:textId="77777777" w:rsidR="005718DD" w:rsidRPr="00BA2F7B" w:rsidRDefault="005718DD" w:rsidP="005718DD">
      <w:pPr>
        <w:pStyle w:val="2ListNumberMultilevel"/>
        <w:jc w:val="both"/>
        <w:rPr>
          <w:sz w:val="24"/>
          <w:szCs w:val="24"/>
        </w:rPr>
      </w:pPr>
      <w:r w:rsidRPr="00BA2F7B">
        <w:rPr>
          <w:sz w:val="24"/>
          <w:szCs w:val="24"/>
        </w:rPr>
        <w:t>The Support Plans only cover repairs or replacement units of the same type and model.  If parts or replacement units are not available, a next generation DCT will be provided.</w:t>
      </w:r>
    </w:p>
    <w:p w14:paraId="39EA170D" w14:textId="77777777" w:rsidR="005718DD" w:rsidRPr="00BA2F7B" w:rsidRDefault="005718DD" w:rsidP="005718DD">
      <w:pPr>
        <w:pStyle w:val="2ListNumberMultilevel"/>
        <w:jc w:val="both"/>
        <w:rPr>
          <w:sz w:val="24"/>
          <w:szCs w:val="24"/>
        </w:rPr>
      </w:pPr>
      <w:r w:rsidRPr="00BA2F7B">
        <w:rPr>
          <w:sz w:val="24"/>
          <w:szCs w:val="24"/>
        </w:rPr>
        <w:lastRenderedPageBreak/>
        <w:t xml:space="preserve">Customer shall be responsible for all set up and maintenance of the DCT’s on Customer site. WFS will not provide installation assistance under either Support Plan.  </w:t>
      </w:r>
    </w:p>
    <w:p w14:paraId="64831727" w14:textId="77777777" w:rsidR="005718DD" w:rsidRPr="00BA2F7B" w:rsidRDefault="005718DD" w:rsidP="005718DD">
      <w:pPr>
        <w:pStyle w:val="2ListNumberMultilevel"/>
        <w:jc w:val="both"/>
        <w:rPr>
          <w:sz w:val="24"/>
          <w:szCs w:val="24"/>
        </w:rPr>
      </w:pPr>
      <w:r w:rsidRPr="00BA2F7B">
        <w:rPr>
          <w:sz w:val="24"/>
          <w:szCs w:val="24"/>
        </w:rPr>
        <w:t>Notwithstanding anything to the contrary contained herein, in no event shall any Support Plan for DCT extend or be effective beyond six (6) years from the Effective Date except upon mutual agreement of the parties.</w:t>
      </w:r>
    </w:p>
    <w:p w14:paraId="1F9F3AC1" w14:textId="77777777" w:rsidR="007375C5" w:rsidRDefault="005718DD" w:rsidP="005718DD">
      <w:pPr>
        <w:pStyle w:val="2ListNumberMultilevel"/>
        <w:jc w:val="both"/>
        <w:rPr>
          <w:sz w:val="24"/>
          <w:szCs w:val="24"/>
        </w:rPr>
      </w:pPr>
      <w:r w:rsidRPr="00BA2F7B">
        <w:rPr>
          <w:sz w:val="24"/>
          <w:szCs w:val="24"/>
        </w:rPr>
        <w:t>Support Plans renew automatically upon the end of the Support Period unless Customer notifies WFS of its decision to cancel the Support Plan at least fifteen (15) days prior to the end of the current Support Period. Notwithstanding anything to the contrary contained herein or in any schedule or attachment to the Agreement in no event shall any Support Plan extend or be effective beyond six (6) years from the Effective Date.  To avoid a disruption in the support services, Customer should pay the Support Fees at least fifteen (15) days prior to the beginning of each new Support Period.</w:t>
      </w:r>
    </w:p>
    <w:p w14:paraId="5D8AD7E1" w14:textId="15721ED2" w:rsidR="003D3AF3" w:rsidRDefault="005718DD" w:rsidP="005718DD">
      <w:pPr>
        <w:pStyle w:val="2ListNumberMultilevel"/>
        <w:jc w:val="both"/>
        <w:rPr>
          <w:sz w:val="24"/>
          <w:szCs w:val="24"/>
        </w:rPr>
      </w:pPr>
      <w:r w:rsidRPr="007375C5">
        <w:rPr>
          <w:sz w:val="24"/>
          <w:szCs w:val="24"/>
        </w:rPr>
        <w:t xml:space="preserve">Normal wear and tear and intentional damage to equipment is excluded and fees for such DCTs will be chargeable to Customer at WFS’s standard charges for parts and labor upon receipt of any such DCT.  WFS makes no representations on the availability of parts or replacement units.  WFS reserves the right to deliver new DCTs, repaired DCTs, or refurbished DCTs at its option for any covered repair.  WFS’s obligation shall be subject to our determination that the DCT has not been modified, serviced, or repaired by any other party and that the product was installed and operated within the product specifications for its intended use.  Any misuse, negligence, accident, abuse, or alteration of a serial number will void the support obligations.  The Support Plan extends solely to the original purchaser of the </w:t>
      </w:r>
      <w:proofErr w:type="gramStart"/>
      <w:r w:rsidRPr="007375C5">
        <w:rPr>
          <w:sz w:val="24"/>
          <w:szCs w:val="24"/>
        </w:rPr>
        <w:t>DCT</w:t>
      </w:r>
      <w:proofErr w:type="gramEnd"/>
      <w:r w:rsidRPr="007375C5">
        <w:rPr>
          <w:sz w:val="24"/>
          <w:szCs w:val="24"/>
        </w:rPr>
        <w:t xml:space="preserve"> and all claims must be made by the Custome</w:t>
      </w:r>
      <w:r w:rsidR="003848E0">
        <w:rPr>
          <w:sz w:val="24"/>
          <w:szCs w:val="24"/>
        </w:rPr>
        <w:t>r.</w:t>
      </w:r>
    </w:p>
    <w:sectPr w:rsidR="003D3AF3" w:rsidSect="00287D12">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627"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B3873" w14:textId="77777777" w:rsidR="00D560EB" w:rsidRDefault="00D560EB" w:rsidP="00912DB1">
      <w:pPr>
        <w:spacing w:after="0" w:line="240" w:lineRule="auto"/>
      </w:pPr>
      <w:r>
        <w:separator/>
      </w:r>
    </w:p>
    <w:p w14:paraId="3D517988" w14:textId="77777777" w:rsidR="00D560EB" w:rsidRDefault="00D560EB"/>
    <w:p w14:paraId="79B02381" w14:textId="77777777" w:rsidR="00D560EB" w:rsidRDefault="00D560EB"/>
    <w:p w14:paraId="754F088B" w14:textId="77777777" w:rsidR="00D560EB" w:rsidRDefault="00D560EB"/>
  </w:endnote>
  <w:endnote w:type="continuationSeparator" w:id="0">
    <w:p w14:paraId="638F226F" w14:textId="77777777" w:rsidR="00D560EB" w:rsidRDefault="00D560EB" w:rsidP="00912DB1">
      <w:pPr>
        <w:spacing w:after="0" w:line="240" w:lineRule="auto"/>
      </w:pPr>
      <w:r>
        <w:continuationSeparator/>
      </w:r>
    </w:p>
    <w:p w14:paraId="0528E65A" w14:textId="77777777" w:rsidR="00D560EB" w:rsidRDefault="00D560EB"/>
    <w:p w14:paraId="0D19BF00" w14:textId="77777777" w:rsidR="00D560EB" w:rsidRDefault="00D560EB"/>
    <w:p w14:paraId="2FC10E3C" w14:textId="77777777" w:rsidR="00D560EB" w:rsidRDefault="00D5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C66F3" w14:textId="77777777" w:rsidR="000750FE" w:rsidRDefault="000750FE" w:rsidP="00AA7878"/>
  <w:p w14:paraId="7BDC66F4" w14:textId="77777777" w:rsidR="00A41A19" w:rsidRDefault="00A41A19"/>
  <w:p w14:paraId="74DB27C3" w14:textId="77777777" w:rsidR="00E36306" w:rsidRDefault="00E36306"/>
  <w:p w14:paraId="1A52E80E" w14:textId="77777777" w:rsidR="00E36306" w:rsidRDefault="00E363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33606" w14:textId="5F4FF209" w:rsidR="00EF3F2F" w:rsidRPr="00D4132A" w:rsidRDefault="00793FA8" w:rsidP="006938F6">
    <w:pPr>
      <w:pStyle w:val="FooterText"/>
    </w:pPr>
    <w:sdt>
      <w:sdtPr>
        <w:tag w:val="SCM_TERMSYNC_6ce1fe40-b5b1-45ca-8359-3dda2eb93ab0"/>
        <w:id w:val="-1121610842"/>
      </w:sdtPr>
      <w:sdtEndPr/>
      <w:sdtContent>
        <w:r w:rsidR="00357CB7">
          <w:t>WorkForce Software, LLC</w:t>
        </w:r>
      </w:sdtContent>
    </w:sdt>
    <w:r w:rsidR="00357CB7">
      <w:tab/>
    </w:r>
    <w:r w:rsidR="00357CB7" w:rsidRPr="002613A8">
      <w:t>WFS-SHPA-202306</w:t>
    </w:r>
    <w:r w:rsidR="00357CB7" w:rsidRPr="00AA7878">
      <w:tab/>
    </w:r>
    <w:r w:rsidR="00357CB7">
      <w:t xml:space="preserve">Page </w:t>
    </w:r>
    <w:r w:rsidR="00357CB7">
      <w:fldChar w:fldCharType="begin"/>
    </w:r>
    <w:r w:rsidR="00357CB7">
      <w:instrText xml:space="preserve"> PAGE  \* Arabic  \* MERGEFORMAT </w:instrText>
    </w:r>
    <w:r w:rsidR="00357CB7">
      <w:fldChar w:fldCharType="separate"/>
    </w:r>
    <w:r w:rsidR="00357CB7">
      <w:t>1</w:t>
    </w:r>
    <w:r w:rsidR="00357CB7">
      <w:fldChar w:fldCharType="end"/>
    </w:r>
    <w:r w:rsidR="00357CB7">
      <w:t xml:space="preserve"> of </w:t>
    </w:r>
    <w:r>
      <w:fldChar w:fldCharType="begin"/>
    </w:r>
    <w:r>
      <w:instrText xml:space="preserve"> NUMPAGES  \* Arabic  \* MERGEFORMAT </w:instrText>
    </w:r>
    <w:r>
      <w:fldChar w:fldCharType="separate"/>
    </w:r>
    <w:r w:rsidR="00357CB7">
      <w:t>9</w:t>
    </w:r>
    <w:r>
      <w:fldChar w:fldCharType="end"/>
    </w:r>
    <w:r w:rsidR="00B928F7" w:rsidRPr="00D4132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D141A" w14:textId="62989928" w:rsidR="00EF3F2F" w:rsidRPr="00AC0029" w:rsidRDefault="00793FA8" w:rsidP="006938F6">
    <w:pPr>
      <w:pStyle w:val="FooterText"/>
    </w:pPr>
    <w:sdt>
      <w:sdtPr>
        <w:tag w:val="SCM_TERMSYNC_26d626f2-11c2-4fa0-844e-2fea30704ec7"/>
        <w:id w:val="94374969"/>
      </w:sdtPr>
      <w:sdtEndPr/>
      <w:sdtContent>
        <w:r w:rsidR="00AC0029">
          <w:t>WorkForce Software, LLC</w:t>
        </w:r>
      </w:sdtContent>
    </w:sdt>
    <w:r w:rsidR="00AC0029">
      <w:tab/>
    </w:r>
    <w:r w:rsidR="00AC0029" w:rsidRPr="002613A8">
      <w:t>WFS-SHPA-202306</w:t>
    </w:r>
    <w:r w:rsidR="00AC0029" w:rsidRPr="00AA7878">
      <w:tab/>
    </w:r>
    <w:r w:rsidR="00AC0029">
      <w:t xml:space="preserve">Page </w:t>
    </w:r>
    <w:r w:rsidR="00AC0029">
      <w:fldChar w:fldCharType="begin"/>
    </w:r>
    <w:r w:rsidR="00AC0029">
      <w:instrText xml:space="preserve"> PAGE  \* Arabic  \* MERGEFORMAT </w:instrText>
    </w:r>
    <w:r w:rsidR="00AC0029">
      <w:fldChar w:fldCharType="separate"/>
    </w:r>
    <w:r w:rsidR="00AC0029">
      <w:t>2</w:t>
    </w:r>
    <w:r w:rsidR="00AC0029">
      <w:fldChar w:fldCharType="end"/>
    </w:r>
    <w:r w:rsidR="00AC0029">
      <w:t xml:space="preserve"> of </w:t>
    </w:r>
    <w:r>
      <w:fldChar w:fldCharType="begin"/>
    </w:r>
    <w:r>
      <w:instrText xml:space="preserve"> NUMPAGES  \* Arabic  \* MERGEFORMAT </w:instrText>
    </w:r>
    <w:r>
      <w:fldChar w:fldCharType="separate"/>
    </w:r>
    <w:r w:rsidR="00AC0029">
      <w:t>10</w:t>
    </w:r>
    <w:r>
      <w:fldChar w:fldCharType="end"/>
    </w:r>
    <w:r w:rsidR="00AC0029" w:rsidRPr="00D4132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50749" w14:textId="77777777" w:rsidR="00D560EB" w:rsidRDefault="00D560EB" w:rsidP="00912DB1">
      <w:pPr>
        <w:spacing w:after="0" w:line="240" w:lineRule="auto"/>
      </w:pPr>
      <w:r>
        <w:separator/>
      </w:r>
    </w:p>
    <w:p w14:paraId="48356A57" w14:textId="77777777" w:rsidR="00D560EB" w:rsidRDefault="00D560EB"/>
    <w:p w14:paraId="443D57E2" w14:textId="77777777" w:rsidR="00D560EB" w:rsidRDefault="00D560EB"/>
    <w:p w14:paraId="00614F80" w14:textId="77777777" w:rsidR="00D560EB" w:rsidRDefault="00D560EB"/>
  </w:footnote>
  <w:footnote w:type="continuationSeparator" w:id="0">
    <w:p w14:paraId="42A29221" w14:textId="77777777" w:rsidR="00D560EB" w:rsidRDefault="00D560EB" w:rsidP="00912DB1">
      <w:pPr>
        <w:spacing w:after="0" w:line="240" w:lineRule="auto"/>
      </w:pPr>
      <w:r>
        <w:continuationSeparator/>
      </w:r>
    </w:p>
    <w:p w14:paraId="71CCC75D" w14:textId="77777777" w:rsidR="00D560EB" w:rsidRDefault="00D560EB"/>
    <w:p w14:paraId="580930A5" w14:textId="77777777" w:rsidR="00D560EB" w:rsidRDefault="00D560EB"/>
    <w:p w14:paraId="739C1F80" w14:textId="77777777" w:rsidR="00D560EB" w:rsidRDefault="00D56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C66F0" w14:textId="77777777" w:rsidR="000750FE" w:rsidRDefault="000750FE"/>
  <w:p w14:paraId="7BDC66F1" w14:textId="77777777" w:rsidR="00A41A19" w:rsidRDefault="00A41A19"/>
  <w:p w14:paraId="735873AF" w14:textId="77777777" w:rsidR="00E36306" w:rsidRDefault="00E36306"/>
  <w:p w14:paraId="30E75332" w14:textId="77777777" w:rsidR="00E36306" w:rsidRDefault="00E363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AE726" w14:textId="77777777" w:rsidR="00FC0B26" w:rsidRDefault="00E67D35">
    <w:pPr>
      <w:pStyle w:val="Header"/>
    </w:pPr>
    <w:r>
      <w:rPr>
        <w:noProof/>
        <w:lang w:bidi="ar-SA"/>
      </w:rPr>
      <w:t>WORKFORCE SOFTWARE HARDWARE PURCHASE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F7D69" w14:textId="7DDF3FFD" w:rsidR="00E36306" w:rsidRDefault="00B26483" w:rsidP="00460ADC">
    <w:pPr>
      <w:pStyle w:val="BaseText"/>
    </w:pPr>
    <w:r>
      <w:rPr>
        <w:noProof/>
        <w:lang w:bidi="ar-SA"/>
      </w:rPr>
      <w:drawing>
        <wp:anchor distT="0" distB="0" distL="114300" distR="114300" simplePos="0" relativeHeight="251666432" behindDoc="0" locked="0" layoutInCell="1" allowOverlap="1" wp14:anchorId="78A6CD56" wp14:editId="7D007AF5">
          <wp:simplePos x="0" y="0"/>
          <wp:positionH relativeFrom="margin">
            <wp:posOffset>-28575</wp:posOffset>
          </wp:positionH>
          <wp:positionV relativeFrom="paragraph">
            <wp:posOffset>-60618</wp:posOffset>
          </wp:positionV>
          <wp:extent cx="2226664" cy="455724"/>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226664" cy="455724"/>
                  </a:xfrm>
                  <a:prstGeom prst="rect">
                    <a:avLst/>
                  </a:prstGeom>
                </pic:spPr>
              </pic:pic>
            </a:graphicData>
          </a:graphic>
          <wp14:sizeRelH relativeFrom="margin">
            <wp14:pctWidth>0</wp14:pctWidth>
          </wp14:sizeRelH>
        </wp:anchor>
      </w:drawing>
    </w:r>
    <w:r w:rsidR="00167B82">
      <w:rPr>
        <w:noProof/>
        <w:lang w:bidi="ar-SA"/>
      </w:rPr>
      <mc:AlternateContent>
        <mc:Choice Requires="wps">
          <w:drawing>
            <wp:anchor distT="0" distB="0" distL="114300" distR="114300" simplePos="0" relativeHeight="251659264" behindDoc="0" locked="1" layoutInCell="1" allowOverlap="1" wp14:anchorId="7BDC6701" wp14:editId="03A2C552">
              <wp:simplePos x="0" y="0"/>
              <wp:positionH relativeFrom="page">
                <wp:align>center</wp:align>
              </wp:positionH>
              <wp:positionV relativeFrom="page">
                <wp:align>top</wp:align>
              </wp:positionV>
              <wp:extent cx="7772400" cy="62230"/>
              <wp:effectExtent l="0" t="0" r="0" b="1270"/>
              <wp:wrapNone/>
              <wp:docPr id="7" name="Rectangle 7"/>
              <wp:cNvGraphicFramePr/>
              <a:graphic xmlns:a="http://schemas.openxmlformats.org/drawingml/2006/main">
                <a:graphicData uri="http://schemas.microsoft.com/office/word/2010/wordprocessingShape">
                  <wps:wsp>
                    <wps:cNvSpPr/>
                    <wps:spPr>
                      <a:xfrm>
                        <a:off x="0" y="0"/>
                        <a:ext cx="7772400" cy="6252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A434" id="Rectangle 7" o:spid="_x0000_s1026" style="position:absolute;margin-left:0;margin-top:0;width:612pt;height:4.9pt;z-index:25165926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" fillcolor="#40a289 [3205]" stroked="f" strokeweight="1.5pt">
              <w10:wrap anchorx="page" anchory="page"/>
              <w10:anchorlock/>
            </v:rect>
          </w:pict>
        </mc:Fallback>
      </mc:AlternateContent>
    </w:r>
  </w:p>
  <w:p w14:paraId="1B19F595" w14:textId="74CAC594" w:rsidR="00460ADC" w:rsidRDefault="006938F6" w:rsidP="006938F6">
    <w:pPr>
      <w:pStyle w:val="BaseText"/>
      <w:jc w:val="right"/>
    </w:pPr>
    <w:r w:rsidRPr="00EF3F2F">
      <w:t xml:space="preserve">DSHS </w:t>
    </w:r>
    <w:r>
      <w:t>#</w:t>
    </w:r>
    <w:r w:rsidRPr="00EF3F2F">
      <w:t>2443-55417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2CCEC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A285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02D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0E2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E65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2ECF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64D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C7D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96DC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000A38"/>
    <w:lvl w:ilvl="0">
      <w:start w:val="1"/>
      <w:numFmt w:val="bullet"/>
      <w:lvlText w:val=""/>
      <w:lvlJc w:val="left"/>
      <w:pPr>
        <w:ind w:left="360" w:hanging="360"/>
      </w:pPr>
      <w:rPr>
        <w:rFonts w:ascii="Symbol" w:hAnsi="Symbol" w:hint="default"/>
        <w:color w:val="002D62"/>
      </w:rPr>
    </w:lvl>
  </w:abstractNum>
  <w:abstractNum w:abstractNumId="10" w15:restartNumberingAfterBreak="0">
    <w:nsid w:val="00097DC6"/>
    <w:multiLevelType w:val="multilevel"/>
    <w:tmpl w:val="4B0A0F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C5C68"/>
    <w:multiLevelType w:val="multilevel"/>
    <w:tmpl w:val="C842FE6C"/>
    <w:lvl w:ilvl="0">
      <w:start w:val="1"/>
      <w:numFmt w:val="decimal"/>
      <w:pStyle w:val="1ListNumberMultilevel"/>
      <w:lvlText w:val="%1."/>
      <w:lvlJc w:val="left"/>
      <w:pPr>
        <w:ind w:left="360" w:hanging="360"/>
      </w:pPr>
      <w:rPr>
        <w:rFonts w:hint="default"/>
        <w:b/>
        <w:i w:val="0"/>
      </w:rPr>
    </w:lvl>
    <w:lvl w:ilvl="1">
      <w:start w:val="1"/>
      <w:numFmt w:val="decimal"/>
      <w:pStyle w:val="2ListNumberMultilevel"/>
      <w:lvlText w:val="%1.%2."/>
      <w:lvlJc w:val="left"/>
      <w:pPr>
        <w:ind w:left="1080" w:hanging="720"/>
      </w:pPr>
      <w:rPr>
        <w:rFonts w:hint="default"/>
        <w:b w:val="0"/>
      </w:rPr>
    </w:lvl>
    <w:lvl w:ilvl="2">
      <w:start w:val="1"/>
      <w:numFmt w:val="decimal"/>
      <w:pStyle w:val="3ListNumberMultilevel"/>
      <w:lvlText w:val="%1.%2.%3."/>
      <w:lvlJc w:val="left"/>
      <w:pPr>
        <w:ind w:left="1800" w:hanging="720"/>
      </w:pPr>
      <w:rPr>
        <w:rFonts w:hint="default"/>
      </w:rPr>
    </w:lvl>
    <w:lvl w:ilvl="3">
      <w:start w:val="1"/>
      <w:numFmt w:val="decimal"/>
      <w:lvlText w:val="%1.%2.%3.%4."/>
      <w:lvlJc w:val="left"/>
      <w:pPr>
        <w:tabs>
          <w:tab w:val="num" w:pos="1800"/>
        </w:tabs>
        <w:ind w:left="252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B81BE0"/>
    <w:multiLevelType w:val="multilevel"/>
    <w:tmpl w:val="4B0A0F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376F03"/>
    <w:multiLevelType w:val="hybridMultilevel"/>
    <w:tmpl w:val="9398D388"/>
    <w:lvl w:ilvl="0" w:tplc="B89823CA">
      <w:start w:val="1"/>
      <w:numFmt w:val="bullet"/>
      <w:pStyle w:val="2Lis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44DDC"/>
    <w:multiLevelType w:val="hybridMultilevel"/>
    <w:tmpl w:val="FF82BEDA"/>
    <w:lvl w:ilvl="0" w:tplc="6BCAB5F2">
      <w:start w:val="1"/>
      <w:numFmt w:val="bullet"/>
      <w:pStyle w:val="4ListBullet"/>
      <w:lvlText w:val=""/>
      <w:lvlJc w:val="left"/>
      <w:pPr>
        <w:ind w:left="1512" w:hanging="360"/>
      </w:pPr>
      <w:rPr>
        <w:rFonts w:ascii="Symbol" w:hAnsi="Symbol" w:hint="default"/>
        <w:color w:val="auto"/>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5EC74098"/>
    <w:multiLevelType w:val="hybridMultilevel"/>
    <w:tmpl w:val="8E4ED49C"/>
    <w:lvl w:ilvl="0" w:tplc="55D41F04">
      <w:start w:val="1"/>
      <w:numFmt w:val="bullet"/>
      <w:pStyle w:val="3Lis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E65D6C"/>
    <w:multiLevelType w:val="hybridMultilevel"/>
    <w:tmpl w:val="47D88BCA"/>
    <w:lvl w:ilvl="0" w:tplc="23E432EA">
      <w:start w:val="1"/>
      <w:numFmt w:val="decimal"/>
      <w:pStyle w:val="List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C22DB"/>
    <w:multiLevelType w:val="multilevel"/>
    <w:tmpl w:val="B72ED600"/>
    <w:lvl w:ilvl="0">
      <w:start w:val="1"/>
      <w:numFmt w:val="bullet"/>
      <w:lvlText w:val=""/>
      <w:lvlJc w:val="left"/>
      <w:pPr>
        <w:ind w:left="360" w:hanging="360"/>
      </w:pPr>
      <w:rPr>
        <w:rFonts w:ascii="Symbol" w:hAnsi="Symbol"/>
        <w:color w:val="002D62"/>
      </w:rPr>
    </w:lvl>
    <w:lvl w:ilvl="1">
      <w:start w:val="1"/>
      <w:numFmt w:val="bullet"/>
      <w:lvlText w:val=""/>
      <w:lvlJc w:val="left"/>
      <w:pPr>
        <w:ind w:left="720" w:hanging="360"/>
      </w:pPr>
      <w:rPr>
        <w:rFonts w:ascii="Symbol" w:hAnsi="Symbol" w:hint="default"/>
        <w:color w:val="002D62"/>
      </w:rPr>
    </w:lvl>
    <w:lvl w:ilvl="2">
      <w:start w:val="1"/>
      <w:numFmt w:val="bullet"/>
      <w:lvlText w:val="o"/>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3F79B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440" w:hanging="360"/>
      </w:pPr>
      <w:rPr>
        <w:rFonts w:ascii="Calibri" w:hAnsi="Calibri" w:hint="default"/>
        <w:b w:val="0"/>
        <w:bCs w:val="0"/>
        <w:i w:val="0"/>
        <w:iCs w:val="0"/>
        <w:caps w:val="0"/>
        <w:smallCaps w:val="0"/>
        <w:strike w:val="0"/>
        <w:dstrike w:val="0"/>
        <w:outline w:val="0"/>
        <w:shadow w:val="0"/>
        <w:emboss w:val="0"/>
        <w:imprint w:val="0"/>
        <w:noProof w:val="0"/>
        <w:snapToGrid w:val="0"/>
        <w:vanish w:val="0"/>
        <w:color w:val="ADB1B0" w:themeColor="accent6"/>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5ListBullet"/>
      <w:lvlText w:val="○"/>
      <w:lvlJc w:val="left"/>
      <w:pPr>
        <w:ind w:left="1800" w:hanging="360"/>
      </w:pPr>
      <w:rPr>
        <w:rFonts w:ascii="Calibri" w:hAnsi="Calibri" w:hint="default"/>
        <w:color w:val="7F7F7F" w:themeColor="text1" w:themeTint="80"/>
      </w:rPr>
    </w:lvl>
    <w:lvl w:ilvl="5">
      <w:start w:val="1"/>
      <w:numFmt w:val="bullet"/>
      <w:lvlText w:val="●"/>
      <w:lvlJc w:val="left"/>
      <w:pPr>
        <w:ind w:left="2160" w:hanging="360"/>
      </w:pPr>
      <w:rPr>
        <w:rFonts w:ascii="Calibri" w:hAnsi="Calibri" w:hint="default"/>
        <w:color w:val="808080" w:themeColor="background1" w:themeShade="80"/>
      </w:rPr>
    </w:lvl>
    <w:lvl w:ilvl="6">
      <w:start w:val="1"/>
      <w:numFmt w:val="bullet"/>
      <w:lvlText w:val=""/>
      <w:lvlJc w:val="left"/>
      <w:pPr>
        <w:ind w:left="2520" w:hanging="360"/>
      </w:pPr>
      <w:rPr>
        <w:rFonts w:ascii="Wingdings" w:hAnsi="Wingdings" w:hint="default"/>
        <w:color w:val="A6A6A6" w:themeColor="background1" w:themeShade="A6"/>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5173402"/>
    <w:multiLevelType w:val="hybridMultilevel"/>
    <w:tmpl w:val="31AAD82C"/>
    <w:lvl w:ilvl="0" w:tplc="5A365E70">
      <w:start w:val="1"/>
      <w:numFmt w:val="bullet"/>
      <w:pStyle w:val="1List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DA5504"/>
    <w:multiLevelType w:val="multilevel"/>
    <w:tmpl w:val="4B0A0F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2117666">
    <w:abstractNumId w:val="7"/>
  </w:num>
  <w:num w:numId="2" w16cid:durableId="843933437">
    <w:abstractNumId w:val="9"/>
  </w:num>
  <w:num w:numId="3" w16cid:durableId="767434684">
    <w:abstractNumId w:val="13"/>
  </w:num>
  <w:num w:numId="4" w16cid:durableId="681786951">
    <w:abstractNumId w:val="15"/>
  </w:num>
  <w:num w:numId="5" w16cid:durableId="249697193">
    <w:abstractNumId w:val="14"/>
  </w:num>
  <w:num w:numId="6" w16cid:durableId="1552838954">
    <w:abstractNumId w:val="17"/>
  </w:num>
  <w:num w:numId="7" w16cid:durableId="633410239">
    <w:abstractNumId w:val="16"/>
  </w:num>
  <w:num w:numId="8" w16cid:durableId="294795889">
    <w:abstractNumId w:val="18"/>
  </w:num>
  <w:num w:numId="9" w16cid:durableId="501048627">
    <w:abstractNumId w:val="18"/>
  </w:num>
  <w:num w:numId="10" w16cid:durableId="254217450">
    <w:abstractNumId w:val="13"/>
  </w:num>
  <w:num w:numId="11" w16cid:durableId="2061129107">
    <w:abstractNumId w:val="15"/>
  </w:num>
  <w:num w:numId="12" w16cid:durableId="2079669853">
    <w:abstractNumId w:val="14"/>
  </w:num>
  <w:num w:numId="13" w16cid:durableId="819928801">
    <w:abstractNumId w:val="17"/>
  </w:num>
  <w:num w:numId="14" w16cid:durableId="1570918029">
    <w:abstractNumId w:val="16"/>
  </w:num>
  <w:num w:numId="15" w16cid:durableId="262805695">
    <w:abstractNumId w:val="18"/>
  </w:num>
  <w:num w:numId="16" w16cid:durableId="500512214">
    <w:abstractNumId w:val="18"/>
  </w:num>
  <w:num w:numId="17" w16cid:durableId="1368215712">
    <w:abstractNumId w:val="13"/>
  </w:num>
  <w:num w:numId="18" w16cid:durableId="344329093">
    <w:abstractNumId w:val="15"/>
  </w:num>
  <w:num w:numId="19" w16cid:durableId="1856193282">
    <w:abstractNumId w:val="14"/>
  </w:num>
  <w:num w:numId="20" w16cid:durableId="1597665584">
    <w:abstractNumId w:val="17"/>
  </w:num>
  <w:num w:numId="21" w16cid:durableId="1042630006">
    <w:abstractNumId w:val="16"/>
  </w:num>
  <w:num w:numId="22" w16cid:durableId="986780026">
    <w:abstractNumId w:val="18"/>
  </w:num>
  <w:num w:numId="23" w16cid:durableId="1223757012">
    <w:abstractNumId w:val="6"/>
  </w:num>
  <w:num w:numId="24" w16cid:durableId="1904945754">
    <w:abstractNumId w:val="5"/>
  </w:num>
  <w:num w:numId="25" w16cid:durableId="59837897">
    <w:abstractNumId w:val="4"/>
  </w:num>
  <w:num w:numId="26" w16cid:durableId="881941462">
    <w:abstractNumId w:val="8"/>
  </w:num>
  <w:num w:numId="27" w16cid:durableId="1688823167">
    <w:abstractNumId w:val="3"/>
  </w:num>
  <w:num w:numId="28" w16cid:durableId="767316417">
    <w:abstractNumId w:val="2"/>
  </w:num>
  <w:num w:numId="29" w16cid:durableId="167524016">
    <w:abstractNumId w:val="1"/>
  </w:num>
  <w:num w:numId="30" w16cid:durableId="1867139227">
    <w:abstractNumId w:val="0"/>
  </w:num>
  <w:num w:numId="31" w16cid:durableId="663701255">
    <w:abstractNumId w:val="16"/>
    <w:lvlOverride w:ilvl="0">
      <w:startOverride w:val="1"/>
    </w:lvlOverride>
  </w:num>
  <w:num w:numId="32" w16cid:durableId="968171435">
    <w:abstractNumId w:val="12"/>
  </w:num>
  <w:num w:numId="33" w16cid:durableId="968314646">
    <w:abstractNumId w:val="11"/>
  </w:num>
  <w:num w:numId="34" w16cid:durableId="262877964">
    <w:abstractNumId w:val="10"/>
  </w:num>
  <w:num w:numId="35" w16cid:durableId="205413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8546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3060789">
    <w:abstractNumId w:val="19"/>
  </w:num>
  <w:num w:numId="38" w16cid:durableId="702095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7845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5148488">
    <w:abstractNumId w:val="16"/>
    <w:lvlOverride w:ilvl="0">
      <w:startOverride w:val="1"/>
    </w:lvlOverride>
  </w:num>
  <w:num w:numId="41" w16cid:durableId="6270110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0196021">
    <w:abstractNumId w:val="16"/>
    <w:lvlOverride w:ilvl="0">
      <w:startOverride w:val="1"/>
    </w:lvlOverride>
  </w:num>
  <w:num w:numId="43" w16cid:durableId="184952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0560325">
    <w:abstractNumId w:val="16"/>
  </w:num>
  <w:num w:numId="45" w16cid:durableId="246694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B1"/>
    <w:rsid w:val="00007338"/>
    <w:rsid w:val="0001558B"/>
    <w:rsid w:val="000157AB"/>
    <w:rsid w:val="000227BF"/>
    <w:rsid w:val="00022CCF"/>
    <w:rsid w:val="000246F3"/>
    <w:rsid w:val="00030F88"/>
    <w:rsid w:val="000476E5"/>
    <w:rsid w:val="00050EB2"/>
    <w:rsid w:val="0005757A"/>
    <w:rsid w:val="00072DED"/>
    <w:rsid w:val="000750FE"/>
    <w:rsid w:val="00093E0B"/>
    <w:rsid w:val="00096643"/>
    <w:rsid w:val="000A7881"/>
    <w:rsid w:val="000B3A8A"/>
    <w:rsid w:val="000D09DD"/>
    <w:rsid w:val="000D1E13"/>
    <w:rsid w:val="000E3855"/>
    <w:rsid w:val="000E6F60"/>
    <w:rsid w:val="000F3287"/>
    <w:rsid w:val="0010379B"/>
    <w:rsid w:val="001037E7"/>
    <w:rsid w:val="00104C87"/>
    <w:rsid w:val="00124F47"/>
    <w:rsid w:val="00137D3D"/>
    <w:rsid w:val="0014521C"/>
    <w:rsid w:val="00147371"/>
    <w:rsid w:val="00151696"/>
    <w:rsid w:val="001568C0"/>
    <w:rsid w:val="00156DFA"/>
    <w:rsid w:val="0016684B"/>
    <w:rsid w:val="001673D4"/>
    <w:rsid w:val="00167B82"/>
    <w:rsid w:val="00173587"/>
    <w:rsid w:val="00185DE0"/>
    <w:rsid w:val="001917A0"/>
    <w:rsid w:val="00195DFF"/>
    <w:rsid w:val="001B309D"/>
    <w:rsid w:val="001C2FCA"/>
    <w:rsid w:val="001C401F"/>
    <w:rsid w:val="001C465B"/>
    <w:rsid w:val="001D69F4"/>
    <w:rsid w:val="001E0AF0"/>
    <w:rsid w:val="002340A5"/>
    <w:rsid w:val="00241833"/>
    <w:rsid w:val="0025478D"/>
    <w:rsid w:val="00255436"/>
    <w:rsid w:val="00270302"/>
    <w:rsid w:val="00270CBE"/>
    <w:rsid w:val="002868F9"/>
    <w:rsid w:val="00287D12"/>
    <w:rsid w:val="00292D1D"/>
    <w:rsid w:val="002C35ED"/>
    <w:rsid w:val="002C42BD"/>
    <w:rsid w:val="002D7F55"/>
    <w:rsid w:val="002E5D55"/>
    <w:rsid w:val="00311CD9"/>
    <w:rsid w:val="00321B49"/>
    <w:rsid w:val="00325E61"/>
    <w:rsid w:val="0034395F"/>
    <w:rsid w:val="0035065D"/>
    <w:rsid w:val="00353A84"/>
    <w:rsid w:val="0035523A"/>
    <w:rsid w:val="00357CB7"/>
    <w:rsid w:val="0037780D"/>
    <w:rsid w:val="003848E0"/>
    <w:rsid w:val="00384E00"/>
    <w:rsid w:val="00395388"/>
    <w:rsid w:val="003A645B"/>
    <w:rsid w:val="003B13F2"/>
    <w:rsid w:val="003B1D33"/>
    <w:rsid w:val="003C07C0"/>
    <w:rsid w:val="003C2CCB"/>
    <w:rsid w:val="003C5E0E"/>
    <w:rsid w:val="003C6E77"/>
    <w:rsid w:val="003D3AF3"/>
    <w:rsid w:val="003D423A"/>
    <w:rsid w:val="003D6070"/>
    <w:rsid w:val="003E4E26"/>
    <w:rsid w:val="00412F7B"/>
    <w:rsid w:val="00421B46"/>
    <w:rsid w:val="0042770A"/>
    <w:rsid w:val="00437175"/>
    <w:rsid w:val="00460ADC"/>
    <w:rsid w:val="00475FEC"/>
    <w:rsid w:val="004819A5"/>
    <w:rsid w:val="00486996"/>
    <w:rsid w:val="004877F5"/>
    <w:rsid w:val="0049041E"/>
    <w:rsid w:val="004915E7"/>
    <w:rsid w:val="004A3560"/>
    <w:rsid w:val="004B63F4"/>
    <w:rsid w:val="004C2A96"/>
    <w:rsid w:val="004D35CF"/>
    <w:rsid w:val="004D4174"/>
    <w:rsid w:val="004D7983"/>
    <w:rsid w:val="004E1549"/>
    <w:rsid w:val="004E3C9E"/>
    <w:rsid w:val="004F149F"/>
    <w:rsid w:val="004F7F8E"/>
    <w:rsid w:val="00511D44"/>
    <w:rsid w:val="0051420A"/>
    <w:rsid w:val="00520530"/>
    <w:rsid w:val="0053750A"/>
    <w:rsid w:val="00541FB1"/>
    <w:rsid w:val="00545C93"/>
    <w:rsid w:val="005464D7"/>
    <w:rsid w:val="00555EDE"/>
    <w:rsid w:val="005637C3"/>
    <w:rsid w:val="00563E19"/>
    <w:rsid w:val="00570463"/>
    <w:rsid w:val="005718DD"/>
    <w:rsid w:val="00575F9A"/>
    <w:rsid w:val="00596E9D"/>
    <w:rsid w:val="005A1C71"/>
    <w:rsid w:val="005A42E2"/>
    <w:rsid w:val="005D4368"/>
    <w:rsid w:val="005D736F"/>
    <w:rsid w:val="005E5175"/>
    <w:rsid w:val="005F3392"/>
    <w:rsid w:val="005F35FC"/>
    <w:rsid w:val="00606B4F"/>
    <w:rsid w:val="00611A51"/>
    <w:rsid w:val="006163BD"/>
    <w:rsid w:val="00625CAB"/>
    <w:rsid w:val="006320F6"/>
    <w:rsid w:val="006326A5"/>
    <w:rsid w:val="00633BAB"/>
    <w:rsid w:val="00635AFB"/>
    <w:rsid w:val="00635C25"/>
    <w:rsid w:val="00635CEE"/>
    <w:rsid w:val="00683615"/>
    <w:rsid w:val="00686AC8"/>
    <w:rsid w:val="00690FD5"/>
    <w:rsid w:val="006926CC"/>
    <w:rsid w:val="006938F6"/>
    <w:rsid w:val="006949E8"/>
    <w:rsid w:val="006B10FB"/>
    <w:rsid w:val="006B4371"/>
    <w:rsid w:val="006C3965"/>
    <w:rsid w:val="006C5049"/>
    <w:rsid w:val="006F63D2"/>
    <w:rsid w:val="00722932"/>
    <w:rsid w:val="00722A56"/>
    <w:rsid w:val="007309E1"/>
    <w:rsid w:val="007375C5"/>
    <w:rsid w:val="00743C38"/>
    <w:rsid w:val="00745C8A"/>
    <w:rsid w:val="007545A2"/>
    <w:rsid w:val="007609A7"/>
    <w:rsid w:val="00775566"/>
    <w:rsid w:val="00781990"/>
    <w:rsid w:val="007835E6"/>
    <w:rsid w:val="00785ACF"/>
    <w:rsid w:val="00787270"/>
    <w:rsid w:val="00793FA8"/>
    <w:rsid w:val="008100BA"/>
    <w:rsid w:val="008106E9"/>
    <w:rsid w:val="0081526D"/>
    <w:rsid w:val="008155DE"/>
    <w:rsid w:val="00834158"/>
    <w:rsid w:val="00837185"/>
    <w:rsid w:val="0085150C"/>
    <w:rsid w:val="00856A7C"/>
    <w:rsid w:val="00856F4B"/>
    <w:rsid w:val="00861E9A"/>
    <w:rsid w:val="008646B1"/>
    <w:rsid w:val="00874C5E"/>
    <w:rsid w:val="00875A3E"/>
    <w:rsid w:val="00884687"/>
    <w:rsid w:val="008A4273"/>
    <w:rsid w:val="008A6172"/>
    <w:rsid w:val="008B3373"/>
    <w:rsid w:val="008C5055"/>
    <w:rsid w:val="008D6B3B"/>
    <w:rsid w:val="008F074D"/>
    <w:rsid w:val="008F2C2D"/>
    <w:rsid w:val="00912DB1"/>
    <w:rsid w:val="00912F9B"/>
    <w:rsid w:val="00912FF1"/>
    <w:rsid w:val="00923E58"/>
    <w:rsid w:val="00947733"/>
    <w:rsid w:val="00950E39"/>
    <w:rsid w:val="009715C1"/>
    <w:rsid w:val="00972763"/>
    <w:rsid w:val="00972B67"/>
    <w:rsid w:val="0098116E"/>
    <w:rsid w:val="009A20AC"/>
    <w:rsid w:val="009B06A2"/>
    <w:rsid w:val="009C5F57"/>
    <w:rsid w:val="009C78F5"/>
    <w:rsid w:val="009D1A49"/>
    <w:rsid w:val="009E658B"/>
    <w:rsid w:val="009F746E"/>
    <w:rsid w:val="00A05366"/>
    <w:rsid w:val="00A148F8"/>
    <w:rsid w:val="00A16718"/>
    <w:rsid w:val="00A41A19"/>
    <w:rsid w:val="00A5255C"/>
    <w:rsid w:val="00A5606F"/>
    <w:rsid w:val="00A65B95"/>
    <w:rsid w:val="00A7161B"/>
    <w:rsid w:val="00A73020"/>
    <w:rsid w:val="00A75ACF"/>
    <w:rsid w:val="00A80F1D"/>
    <w:rsid w:val="00A90306"/>
    <w:rsid w:val="00A94996"/>
    <w:rsid w:val="00A96873"/>
    <w:rsid w:val="00AA4917"/>
    <w:rsid w:val="00AA7878"/>
    <w:rsid w:val="00AB3CEE"/>
    <w:rsid w:val="00AC0029"/>
    <w:rsid w:val="00AC6081"/>
    <w:rsid w:val="00AC7B4A"/>
    <w:rsid w:val="00AD0738"/>
    <w:rsid w:val="00AD0A61"/>
    <w:rsid w:val="00AD3020"/>
    <w:rsid w:val="00AF292A"/>
    <w:rsid w:val="00AF4DA6"/>
    <w:rsid w:val="00B23537"/>
    <w:rsid w:val="00B26483"/>
    <w:rsid w:val="00B428A7"/>
    <w:rsid w:val="00B4549E"/>
    <w:rsid w:val="00B57BFD"/>
    <w:rsid w:val="00B64972"/>
    <w:rsid w:val="00B80FE7"/>
    <w:rsid w:val="00B839F6"/>
    <w:rsid w:val="00B928F7"/>
    <w:rsid w:val="00BA2F7B"/>
    <w:rsid w:val="00BC0EFF"/>
    <w:rsid w:val="00BC5B3D"/>
    <w:rsid w:val="00BC6CA9"/>
    <w:rsid w:val="00BD15C9"/>
    <w:rsid w:val="00BD77EA"/>
    <w:rsid w:val="00BE4AF7"/>
    <w:rsid w:val="00BE6A15"/>
    <w:rsid w:val="00C11954"/>
    <w:rsid w:val="00C208BF"/>
    <w:rsid w:val="00C244C6"/>
    <w:rsid w:val="00C35EA4"/>
    <w:rsid w:val="00C40FB2"/>
    <w:rsid w:val="00C4287D"/>
    <w:rsid w:val="00C43EC5"/>
    <w:rsid w:val="00C46870"/>
    <w:rsid w:val="00C506F8"/>
    <w:rsid w:val="00C54021"/>
    <w:rsid w:val="00C5440A"/>
    <w:rsid w:val="00C62E57"/>
    <w:rsid w:val="00C76E85"/>
    <w:rsid w:val="00C873EC"/>
    <w:rsid w:val="00C90108"/>
    <w:rsid w:val="00C96F35"/>
    <w:rsid w:val="00CD287F"/>
    <w:rsid w:val="00CD372F"/>
    <w:rsid w:val="00CE39B8"/>
    <w:rsid w:val="00CF27F1"/>
    <w:rsid w:val="00CF6271"/>
    <w:rsid w:val="00D0117A"/>
    <w:rsid w:val="00D07A39"/>
    <w:rsid w:val="00D10E82"/>
    <w:rsid w:val="00D1282D"/>
    <w:rsid w:val="00D128F9"/>
    <w:rsid w:val="00D266E5"/>
    <w:rsid w:val="00D274F2"/>
    <w:rsid w:val="00D31E8B"/>
    <w:rsid w:val="00D35A2C"/>
    <w:rsid w:val="00D560EB"/>
    <w:rsid w:val="00D73D6F"/>
    <w:rsid w:val="00D84F52"/>
    <w:rsid w:val="00D86B9E"/>
    <w:rsid w:val="00D94AC9"/>
    <w:rsid w:val="00DA5C7F"/>
    <w:rsid w:val="00DD257F"/>
    <w:rsid w:val="00DD3A2D"/>
    <w:rsid w:val="00DD4CC3"/>
    <w:rsid w:val="00DE06BB"/>
    <w:rsid w:val="00DE4002"/>
    <w:rsid w:val="00DE7843"/>
    <w:rsid w:val="00DF62F7"/>
    <w:rsid w:val="00E21476"/>
    <w:rsid w:val="00E248F1"/>
    <w:rsid w:val="00E2643C"/>
    <w:rsid w:val="00E273E4"/>
    <w:rsid w:val="00E33AA6"/>
    <w:rsid w:val="00E36306"/>
    <w:rsid w:val="00E4447F"/>
    <w:rsid w:val="00E526D3"/>
    <w:rsid w:val="00E53C46"/>
    <w:rsid w:val="00E57F2F"/>
    <w:rsid w:val="00E62430"/>
    <w:rsid w:val="00E645F7"/>
    <w:rsid w:val="00E6520E"/>
    <w:rsid w:val="00E67D35"/>
    <w:rsid w:val="00E745D2"/>
    <w:rsid w:val="00E747DF"/>
    <w:rsid w:val="00E9072D"/>
    <w:rsid w:val="00E911BC"/>
    <w:rsid w:val="00E91C31"/>
    <w:rsid w:val="00EA11D3"/>
    <w:rsid w:val="00ED0D49"/>
    <w:rsid w:val="00ED28FA"/>
    <w:rsid w:val="00ED5744"/>
    <w:rsid w:val="00EE15C6"/>
    <w:rsid w:val="00EE349C"/>
    <w:rsid w:val="00EE6B02"/>
    <w:rsid w:val="00EF3F2F"/>
    <w:rsid w:val="00EF4849"/>
    <w:rsid w:val="00F001B1"/>
    <w:rsid w:val="00F2088D"/>
    <w:rsid w:val="00F32B0D"/>
    <w:rsid w:val="00F34E8B"/>
    <w:rsid w:val="00F361D7"/>
    <w:rsid w:val="00F519F9"/>
    <w:rsid w:val="00F54358"/>
    <w:rsid w:val="00F675EF"/>
    <w:rsid w:val="00F74146"/>
    <w:rsid w:val="00F746DD"/>
    <w:rsid w:val="00F74EA5"/>
    <w:rsid w:val="00F81680"/>
    <w:rsid w:val="00F8557C"/>
    <w:rsid w:val="00F95236"/>
    <w:rsid w:val="00F9663D"/>
    <w:rsid w:val="00FA2E1C"/>
    <w:rsid w:val="00FB3CB9"/>
    <w:rsid w:val="00FB6999"/>
    <w:rsid w:val="00FC0B26"/>
    <w:rsid w:val="00FC0CE3"/>
    <w:rsid w:val="00FD184E"/>
    <w:rsid w:val="00FE333C"/>
    <w:rsid w:val="00FF01DD"/>
    <w:rsid w:val="00FF1510"/>
    <w:rsid w:val="00FF4657"/>
    <w:rsid w:val="00FF4D67"/>
    <w:rsid w:val="00FF635E"/>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6658"/>
  <w15:docId w15:val="{A88CDA2F-FDC3-416C-8D13-A4BAE7E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28FA"/>
  </w:style>
  <w:style w:type="paragraph" w:styleId="Heading1">
    <w:name w:val="heading 1"/>
    <w:basedOn w:val="Normal"/>
    <w:next w:val="Heading2"/>
    <w:link w:val="Heading1Char"/>
    <w:uiPriority w:val="9"/>
    <w:rsid w:val="006320F6"/>
    <w:pPr>
      <w:keepNext/>
      <w:keepLines/>
      <w:spacing w:after="0"/>
      <w:outlineLvl w:val="0"/>
    </w:pPr>
    <w:rPr>
      <w:rFonts w:asciiTheme="majorHAnsi" w:eastAsiaTheme="majorEastAsia" w:hAnsiTheme="majorHAnsi" w:cstheme="majorBidi"/>
      <w:bCs/>
      <w:caps/>
      <w:color w:val="002D62"/>
      <w:sz w:val="48"/>
      <w:szCs w:val="28"/>
    </w:rPr>
  </w:style>
  <w:style w:type="paragraph" w:styleId="Heading2">
    <w:name w:val="heading 2"/>
    <w:basedOn w:val="Normal"/>
    <w:next w:val="Heading3"/>
    <w:link w:val="Heading2Char"/>
    <w:uiPriority w:val="9"/>
    <w:unhideWhenUsed/>
    <w:rsid w:val="006320F6"/>
    <w:pPr>
      <w:keepNext/>
      <w:keepLines/>
      <w:spacing w:after="300"/>
      <w:outlineLvl w:val="1"/>
    </w:pPr>
    <w:rPr>
      <w:rFonts w:asciiTheme="majorHAnsi" w:eastAsiaTheme="majorEastAsia" w:hAnsiTheme="majorHAnsi" w:cstheme="majorBidi"/>
      <w:bCs/>
      <w:i/>
      <w:color w:val="3F79BA"/>
      <w:sz w:val="32"/>
      <w:szCs w:val="26"/>
    </w:rPr>
  </w:style>
  <w:style w:type="paragraph" w:styleId="Heading3">
    <w:name w:val="heading 3"/>
    <w:basedOn w:val="Normal"/>
    <w:next w:val="Normal"/>
    <w:link w:val="Heading3Char"/>
    <w:uiPriority w:val="9"/>
    <w:unhideWhenUsed/>
    <w:rsid w:val="006320F6"/>
    <w:pPr>
      <w:keepNext/>
      <w:keepLines/>
      <w:spacing w:after="120" w:line="240" w:lineRule="auto"/>
      <w:outlineLvl w:val="2"/>
    </w:pPr>
    <w:rPr>
      <w:rFonts w:asciiTheme="majorHAnsi" w:eastAsiaTheme="majorEastAsia" w:hAnsiTheme="majorHAnsi" w:cstheme="majorBidi"/>
      <w:b/>
      <w:bCs/>
      <w:caps/>
      <w:color w:val="3F79BA"/>
      <w:sz w:val="28"/>
    </w:rPr>
  </w:style>
  <w:style w:type="paragraph" w:styleId="Heading4">
    <w:name w:val="heading 4"/>
    <w:basedOn w:val="Normal"/>
    <w:next w:val="Normal"/>
    <w:link w:val="Heading4Char"/>
    <w:uiPriority w:val="9"/>
    <w:unhideWhenUsed/>
    <w:rsid w:val="00395388"/>
    <w:pPr>
      <w:keepNext/>
      <w:keepLines/>
      <w:spacing w:before="200" w:after="0"/>
      <w:outlineLvl w:val="3"/>
    </w:pPr>
    <w:rPr>
      <w:rFonts w:asciiTheme="majorHAnsi" w:eastAsiaTheme="majorEastAsia" w:hAnsiTheme="majorHAnsi" w:cstheme="majorBidi"/>
      <w:bCs/>
      <w:i/>
      <w:iCs/>
      <w:color w:val="000000" w:themeColor="text1"/>
    </w:rPr>
  </w:style>
  <w:style w:type="paragraph" w:styleId="Heading5">
    <w:name w:val="heading 5"/>
    <w:basedOn w:val="Normal"/>
    <w:next w:val="Normal"/>
    <w:link w:val="Heading5Char"/>
    <w:uiPriority w:val="9"/>
    <w:semiHidden/>
    <w:unhideWhenUsed/>
    <w:rsid w:val="00255436"/>
    <w:pPr>
      <w:keepNext/>
      <w:keepLines/>
      <w:spacing w:before="200" w:after="0"/>
      <w:outlineLvl w:val="4"/>
    </w:pPr>
    <w:rPr>
      <w:rFonts w:asciiTheme="majorHAnsi" w:eastAsiaTheme="majorEastAsia" w:hAnsiTheme="majorHAnsi" w:cstheme="majorBidi"/>
      <w:color w:val="082E47" w:themeColor="accent1" w:themeShade="7F"/>
    </w:rPr>
  </w:style>
  <w:style w:type="paragraph" w:styleId="Heading6">
    <w:name w:val="heading 6"/>
    <w:basedOn w:val="Normal"/>
    <w:next w:val="Normal"/>
    <w:link w:val="Heading6Char"/>
    <w:uiPriority w:val="9"/>
    <w:semiHidden/>
    <w:unhideWhenUsed/>
    <w:qFormat/>
    <w:rsid w:val="00255436"/>
    <w:pPr>
      <w:keepNext/>
      <w:keepLines/>
      <w:spacing w:before="200" w:after="0"/>
      <w:outlineLvl w:val="5"/>
    </w:pPr>
    <w:rPr>
      <w:rFonts w:asciiTheme="majorHAnsi" w:eastAsiaTheme="majorEastAsia" w:hAnsiTheme="majorHAnsi" w:cstheme="majorBidi"/>
      <w:i/>
      <w:iCs/>
      <w:color w:val="082E47" w:themeColor="accent1" w:themeShade="7F"/>
    </w:rPr>
  </w:style>
  <w:style w:type="paragraph" w:styleId="Heading7">
    <w:name w:val="heading 7"/>
    <w:basedOn w:val="Normal"/>
    <w:next w:val="Normal"/>
    <w:link w:val="Heading7Char"/>
    <w:uiPriority w:val="9"/>
    <w:semiHidden/>
    <w:unhideWhenUsed/>
    <w:qFormat/>
    <w:rsid w:val="002554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436"/>
    <w:pPr>
      <w:keepNext/>
      <w:keepLines/>
      <w:spacing w:before="200" w:after="0"/>
      <w:outlineLvl w:val="7"/>
    </w:pPr>
    <w:rPr>
      <w:rFonts w:asciiTheme="majorHAnsi" w:eastAsiaTheme="majorEastAsia" w:hAnsiTheme="majorHAnsi" w:cstheme="majorBidi"/>
      <w:color w:val="115D8F" w:themeColor="accent1"/>
      <w:sz w:val="20"/>
      <w:szCs w:val="20"/>
    </w:rPr>
  </w:style>
  <w:style w:type="paragraph" w:styleId="Heading9">
    <w:name w:val="heading 9"/>
    <w:basedOn w:val="Normal"/>
    <w:next w:val="Normal"/>
    <w:link w:val="Heading9Char"/>
    <w:uiPriority w:val="9"/>
    <w:semiHidden/>
    <w:unhideWhenUsed/>
    <w:qFormat/>
    <w:rsid w:val="002554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ListBullet">
    <w:name w:val="*5 List Bullet"/>
    <w:basedOn w:val="Normal"/>
    <w:qFormat/>
    <w:rsid w:val="00B23537"/>
    <w:pPr>
      <w:numPr>
        <w:ilvl w:val="4"/>
        <w:numId w:val="20"/>
      </w:numPr>
      <w:tabs>
        <w:tab w:val="center" w:pos="4680"/>
        <w:tab w:val="right" w:pos="9360"/>
      </w:tabs>
      <w:spacing w:after="120" w:line="264" w:lineRule="auto"/>
      <w:contextualSpacing/>
    </w:pPr>
    <w:rPr>
      <w:sz w:val="24"/>
    </w:rPr>
  </w:style>
  <w:style w:type="character" w:customStyle="1" w:styleId="Heading1Char">
    <w:name w:val="Heading 1 Char"/>
    <w:basedOn w:val="DefaultParagraphFont"/>
    <w:link w:val="Heading1"/>
    <w:uiPriority w:val="9"/>
    <w:rsid w:val="00D274F2"/>
    <w:rPr>
      <w:rFonts w:asciiTheme="majorHAnsi" w:eastAsiaTheme="majorEastAsia" w:hAnsiTheme="majorHAnsi" w:cstheme="majorBidi"/>
      <w:bCs/>
      <w:caps/>
      <w:color w:val="002D62"/>
      <w:sz w:val="48"/>
      <w:szCs w:val="28"/>
    </w:rPr>
  </w:style>
  <w:style w:type="character" w:customStyle="1" w:styleId="Heading2Char">
    <w:name w:val="Heading 2 Char"/>
    <w:basedOn w:val="DefaultParagraphFont"/>
    <w:link w:val="Heading2"/>
    <w:uiPriority w:val="9"/>
    <w:rsid w:val="00B80FE7"/>
    <w:rPr>
      <w:rFonts w:asciiTheme="majorHAnsi" w:eastAsiaTheme="majorEastAsia" w:hAnsiTheme="majorHAnsi" w:cstheme="majorBidi"/>
      <w:bCs/>
      <w:i/>
      <w:color w:val="3F79BA"/>
      <w:sz w:val="32"/>
      <w:szCs w:val="26"/>
    </w:rPr>
  </w:style>
  <w:style w:type="character" w:customStyle="1" w:styleId="Heading3Char">
    <w:name w:val="Heading 3 Char"/>
    <w:basedOn w:val="DefaultParagraphFont"/>
    <w:link w:val="Heading3"/>
    <w:uiPriority w:val="9"/>
    <w:rsid w:val="00683615"/>
    <w:rPr>
      <w:rFonts w:asciiTheme="majorHAnsi" w:eastAsiaTheme="majorEastAsia" w:hAnsiTheme="majorHAnsi" w:cstheme="majorBidi"/>
      <w:b/>
      <w:bCs/>
      <w:caps/>
      <w:color w:val="3F79BA"/>
      <w:sz w:val="28"/>
    </w:rPr>
  </w:style>
  <w:style w:type="character" w:customStyle="1" w:styleId="Heading4Char">
    <w:name w:val="Heading 4 Char"/>
    <w:basedOn w:val="DefaultParagraphFont"/>
    <w:link w:val="Heading4"/>
    <w:uiPriority w:val="9"/>
    <w:rsid w:val="00395388"/>
    <w:rPr>
      <w:rFonts w:asciiTheme="majorHAnsi" w:eastAsiaTheme="majorEastAsia" w:hAnsiTheme="majorHAnsi" w:cstheme="majorBidi"/>
      <w:bCs/>
      <w:i/>
      <w:iCs/>
      <w:color w:val="000000" w:themeColor="text1"/>
    </w:rPr>
  </w:style>
  <w:style w:type="character" w:customStyle="1" w:styleId="Heading5Char">
    <w:name w:val="Heading 5 Char"/>
    <w:basedOn w:val="DefaultParagraphFont"/>
    <w:link w:val="Heading5"/>
    <w:uiPriority w:val="9"/>
    <w:rsid w:val="00255436"/>
    <w:rPr>
      <w:rFonts w:asciiTheme="majorHAnsi" w:eastAsiaTheme="majorEastAsia" w:hAnsiTheme="majorHAnsi" w:cstheme="majorBidi"/>
      <w:color w:val="082E47" w:themeColor="accent1" w:themeShade="7F"/>
    </w:rPr>
  </w:style>
  <w:style w:type="character" w:customStyle="1" w:styleId="Heading6Char">
    <w:name w:val="Heading 6 Char"/>
    <w:basedOn w:val="DefaultParagraphFont"/>
    <w:link w:val="Heading6"/>
    <w:uiPriority w:val="9"/>
    <w:rsid w:val="00255436"/>
    <w:rPr>
      <w:rFonts w:asciiTheme="majorHAnsi" w:eastAsiaTheme="majorEastAsia" w:hAnsiTheme="majorHAnsi" w:cstheme="majorBidi"/>
      <w:i/>
      <w:iCs/>
      <w:color w:val="082E47" w:themeColor="accent1" w:themeShade="7F"/>
    </w:rPr>
  </w:style>
  <w:style w:type="character" w:customStyle="1" w:styleId="Heading7Char">
    <w:name w:val="Heading 7 Char"/>
    <w:basedOn w:val="DefaultParagraphFont"/>
    <w:link w:val="Heading7"/>
    <w:uiPriority w:val="9"/>
    <w:rsid w:val="002554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55436"/>
    <w:rPr>
      <w:rFonts w:asciiTheme="majorHAnsi" w:eastAsiaTheme="majorEastAsia" w:hAnsiTheme="majorHAnsi" w:cstheme="majorBidi"/>
      <w:color w:val="115D8F" w:themeColor="accent1"/>
      <w:sz w:val="20"/>
      <w:szCs w:val="20"/>
    </w:rPr>
  </w:style>
  <w:style w:type="character" w:customStyle="1" w:styleId="Heading9Char">
    <w:name w:val="Heading 9 Char"/>
    <w:basedOn w:val="DefaultParagraphFont"/>
    <w:link w:val="Heading9"/>
    <w:uiPriority w:val="9"/>
    <w:rsid w:val="002554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5436"/>
    <w:pPr>
      <w:spacing w:line="240" w:lineRule="auto"/>
    </w:pPr>
    <w:rPr>
      <w:b/>
      <w:bCs/>
      <w:color w:val="115D8F" w:themeColor="accent1"/>
      <w:sz w:val="18"/>
      <w:szCs w:val="18"/>
    </w:rPr>
  </w:style>
  <w:style w:type="character" w:customStyle="1" w:styleId="Ch-Base">
    <w:name w:val="*Ch-Base"/>
    <w:uiPriority w:val="1"/>
    <w:qFormat/>
    <w:rsid w:val="00B23537"/>
  </w:style>
  <w:style w:type="character" w:customStyle="1" w:styleId="Ch-Bold">
    <w:name w:val="*Ch-Bold"/>
    <w:basedOn w:val="Ch-Base"/>
    <w:uiPriority w:val="1"/>
    <w:qFormat/>
    <w:rsid w:val="00B23537"/>
    <w:rPr>
      <w:b/>
    </w:rPr>
  </w:style>
  <w:style w:type="character" w:customStyle="1" w:styleId="Ch-Hyperlink">
    <w:name w:val="*Ch-Hyperlink"/>
    <w:basedOn w:val="Ch-Base"/>
    <w:uiPriority w:val="1"/>
    <w:qFormat/>
    <w:rsid w:val="00B23537"/>
    <w:rPr>
      <w:color w:val="ADB1B0" w:themeColor="text2"/>
      <w:u w:val="single"/>
    </w:rPr>
  </w:style>
  <w:style w:type="character" w:customStyle="1" w:styleId="Ch-Italic">
    <w:name w:val="*Ch-Italic"/>
    <w:basedOn w:val="DefaultParagraphFont"/>
    <w:uiPriority w:val="1"/>
    <w:qFormat/>
    <w:rsid w:val="00B23537"/>
    <w:rPr>
      <w:i/>
    </w:rPr>
  </w:style>
  <w:style w:type="paragraph" w:styleId="TOCHeading">
    <w:name w:val="TOC Heading"/>
    <w:basedOn w:val="Heading1"/>
    <w:next w:val="Normal"/>
    <w:uiPriority w:val="39"/>
    <w:semiHidden/>
    <w:unhideWhenUsed/>
    <w:qFormat/>
    <w:rsid w:val="002E5D55"/>
    <w:pPr>
      <w:outlineLvl w:val="9"/>
    </w:pPr>
  </w:style>
  <w:style w:type="table" w:styleId="GridTable5Dark-Accent1">
    <w:name w:val="Grid Table 5 Dark Accent 1"/>
    <w:basedOn w:val="TableNormal"/>
    <w:uiPriority w:val="50"/>
    <w:rsid w:val="002703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1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5D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5D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5D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5D8F" w:themeFill="accent1"/>
      </w:tcPr>
    </w:tblStylePr>
    <w:tblStylePr w:type="band1Vert">
      <w:tblPr/>
      <w:tcPr>
        <w:shd w:val="clear" w:color="auto" w:fill="81C4F0" w:themeFill="accent1" w:themeFillTint="66"/>
      </w:tcPr>
    </w:tblStylePr>
    <w:tblStylePr w:type="band1Horz">
      <w:tblPr/>
      <w:tcPr>
        <w:shd w:val="clear" w:color="auto" w:fill="81C4F0" w:themeFill="accent1" w:themeFillTint="66"/>
      </w:tcPr>
    </w:tblStylePr>
  </w:style>
  <w:style w:type="paragraph" w:styleId="BalloonText">
    <w:name w:val="Balloon Text"/>
    <w:basedOn w:val="Normal"/>
    <w:link w:val="BalloonTextChar"/>
    <w:uiPriority w:val="99"/>
    <w:semiHidden/>
    <w:unhideWhenUsed/>
    <w:rsid w:val="0091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B1"/>
    <w:rPr>
      <w:rFonts w:ascii="Tahoma" w:hAnsi="Tahoma" w:cs="Tahoma"/>
      <w:sz w:val="16"/>
      <w:szCs w:val="16"/>
    </w:rPr>
  </w:style>
  <w:style w:type="character" w:customStyle="1" w:styleId="Ch-Superscript">
    <w:name w:val="*Ch-Superscript"/>
    <w:basedOn w:val="DefaultParagraphFont"/>
    <w:uiPriority w:val="1"/>
    <w:qFormat/>
    <w:rsid w:val="00B23537"/>
    <w:rPr>
      <w:b/>
      <w:bCs/>
      <w:color w:val="auto"/>
      <w:sz w:val="22"/>
      <w:vertAlign w:val="superscript"/>
    </w:rPr>
  </w:style>
  <w:style w:type="character" w:styleId="PlaceholderText">
    <w:name w:val="Placeholder Text"/>
    <w:basedOn w:val="DefaultParagraphFont"/>
    <w:uiPriority w:val="99"/>
    <w:semiHidden/>
    <w:rsid w:val="001673D4"/>
    <w:rPr>
      <w:color w:val="808080"/>
    </w:rPr>
  </w:style>
  <w:style w:type="character" w:customStyle="1" w:styleId="Ch-White">
    <w:name w:val="*Ch-White"/>
    <w:basedOn w:val="Ch-Base"/>
    <w:uiPriority w:val="1"/>
    <w:qFormat/>
    <w:rsid w:val="00B23537"/>
    <w:rPr>
      <w:color w:val="FFFFFF" w:themeColor="background1"/>
    </w:rPr>
  </w:style>
  <w:style w:type="table" w:styleId="TableGrid">
    <w:name w:val="Table Grid"/>
    <w:basedOn w:val="TableNormal"/>
    <w:uiPriority w:val="59"/>
    <w:rsid w:val="00B4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rsid w:val="00B23537"/>
    <w:pPr>
      <w:pBdr>
        <w:top w:val="single" w:sz="8" w:space="4" w:color="595959" w:themeColor="text1" w:themeTint="A6"/>
      </w:pBdr>
      <w:tabs>
        <w:tab w:val="center" w:pos="4680"/>
        <w:tab w:val="right" w:pos="9360"/>
      </w:tabs>
      <w:spacing w:after="0" w:line="240" w:lineRule="auto"/>
    </w:pPr>
    <w:rPr>
      <w:color w:val="808080" w:themeColor="background1" w:themeShade="80"/>
      <w:sz w:val="16"/>
      <w:szCs w:val="16"/>
    </w:rPr>
  </w:style>
  <w:style w:type="paragraph" w:customStyle="1" w:styleId="BaseText">
    <w:name w:val="*Base Text"/>
    <w:qFormat/>
    <w:rsid w:val="00B23537"/>
    <w:pPr>
      <w:spacing w:before="120" w:after="300"/>
    </w:pPr>
    <w:rPr>
      <w:sz w:val="24"/>
    </w:rPr>
  </w:style>
  <w:style w:type="paragraph" w:customStyle="1" w:styleId="1Heading">
    <w:name w:val="*1 Heading"/>
    <w:next w:val="BaseText"/>
    <w:qFormat/>
    <w:rsid w:val="00B23537"/>
    <w:pPr>
      <w:spacing w:after="120" w:line="240" w:lineRule="auto"/>
      <w:outlineLvl w:val="0"/>
    </w:pPr>
    <w:rPr>
      <w:color w:val="595959" w:themeColor="text1" w:themeTint="A6"/>
      <w:sz w:val="40"/>
    </w:rPr>
  </w:style>
  <w:style w:type="paragraph" w:customStyle="1" w:styleId="1ListBullet">
    <w:name w:val="*1 List Bullet"/>
    <w:basedOn w:val="BaseText"/>
    <w:qFormat/>
    <w:rsid w:val="00B23537"/>
    <w:pPr>
      <w:numPr>
        <w:numId w:val="22"/>
      </w:numPr>
      <w:contextualSpacing/>
    </w:pPr>
    <w:rPr>
      <w:szCs w:val="24"/>
    </w:rPr>
  </w:style>
  <w:style w:type="paragraph" w:customStyle="1" w:styleId="TableHeading">
    <w:name w:val="*Table Heading"/>
    <w:next w:val="BaseText"/>
    <w:qFormat/>
    <w:rsid w:val="00B23537"/>
    <w:pPr>
      <w:spacing w:after="120" w:line="240" w:lineRule="auto"/>
    </w:pPr>
    <w:rPr>
      <w:color w:val="595959" w:themeColor="text1" w:themeTint="A6"/>
      <w:sz w:val="28"/>
      <w:szCs w:val="28"/>
    </w:rPr>
  </w:style>
  <w:style w:type="paragraph" w:customStyle="1" w:styleId="2Heading">
    <w:name w:val="*2 Heading"/>
    <w:basedOn w:val="1Heading"/>
    <w:next w:val="BaseText"/>
    <w:qFormat/>
    <w:rsid w:val="00B23537"/>
    <w:pPr>
      <w:outlineLvl w:val="1"/>
    </w:pPr>
    <w:rPr>
      <w:sz w:val="36"/>
    </w:rPr>
  </w:style>
  <w:style w:type="paragraph" w:customStyle="1" w:styleId="2ListBullet">
    <w:name w:val="*2 List Bullet"/>
    <w:basedOn w:val="BaseText"/>
    <w:qFormat/>
    <w:rsid w:val="00B23537"/>
    <w:pPr>
      <w:numPr>
        <w:numId w:val="17"/>
      </w:numPr>
      <w:contextualSpacing/>
    </w:pPr>
  </w:style>
  <w:style w:type="paragraph" w:customStyle="1" w:styleId="3Heading">
    <w:name w:val="*3 Heading"/>
    <w:basedOn w:val="2Heading"/>
    <w:next w:val="BaseText"/>
    <w:qFormat/>
    <w:rsid w:val="00B23537"/>
    <w:pPr>
      <w:outlineLvl w:val="2"/>
    </w:pPr>
    <w:rPr>
      <w:sz w:val="32"/>
    </w:rPr>
  </w:style>
  <w:style w:type="paragraph" w:customStyle="1" w:styleId="3ListBullet">
    <w:name w:val="*3 List Bullet"/>
    <w:basedOn w:val="BaseText"/>
    <w:qFormat/>
    <w:rsid w:val="00B23537"/>
    <w:pPr>
      <w:numPr>
        <w:numId w:val="18"/>
      </w:numPr>
      <w:contextualSpacing/>
    </w:pPr>
  </w:style>
  <w:style w:type="paragraph" w:customStyle="1" w:styleId="4Heading">
    <w:name w:val="*4 Heading"/>
    <w:basedOn w:val="3Heading"/>
    <w:next w:val="BaseText"/>
    <w:qFormat/>
    <w:rsid w:val="00B23537"/>
    <w:pPr>
      <w:outlineLvl w:val="3"/>
    </w:pPr>
    <w:rPr>
      <w:sz w:val="28"/>
    </w:rPr>
  </w:style>
  <w:style w:type="paragraph" w:customStyle="1" w:styleId="4ListBullet">
    <w:name w:val="*4 List Bullet"/>
    <w:basedOn w:val="BaseText"/>
    <w:qFormat/>
    <w:rsid w:val="00B23537"/>
    <w:pPr>
      <w:numPr>
        <w:numId w:val="19"/>
      </w:numPr>
      <w:tabs>
        <w:tab w:val="center" w:pos="4680"/>
        <w:tab w:val="right" w:pos="9360"/>
      </w:tabs>
      <w:contextualSpacing/>
    </w:pPr>
  </w:style>
  <w:style w:type="paragraph" w:customStyle="1" w:styleId="Header">
    <w:name w:val="*Header"/>
    <w:basedOn w:val="Normal"/>
    <w:qFormat/>
    <w:rsid w:val="00A80F1D"/>
    <w:pPr>
      <w:pBdr>
        <w:bottom w:val="single" w:sz="8" w:space="4" w:color="115D8F" w:themeColor="accent1"/>
      </w:pBdr>
      <w:tabs>
        <w:tab w:val="center" w:pos="4680"/>
        <w:tab w:val="right" w:pos="9000"/>
      </w:tabs>
      <w:spacing w:after="0" w:line="240" w:lineRule="auto"/>
    </w:pPr>
    <w:rPr>
      <w:color w:val="404040" w:themeColor="text1" w:themeTint="BF"/>
      <w:sz w:val="24"/>
      <w:szCs w:val="24"/>
    </w:rPr>
  </w:style>
  <w:style w:type="paragraph" w:customStyle="1" w:styleId="HeadingTOC">
    <w:name w:val="*Heading TOC"/>
    <w:basedOn w:val="1Heading"/>
    <w:qFormat/>
    <w:rsid w:val="00B23537"/>
  </w:style>
  <w:style w:type="paragraph" w:customStyle="1" w:styleId="BoxText">
    <w:name w:val="*Box Text"/>
    <w:basedOn w:val="BaseText"/>
    <w:next w:val="BaseText"/>
    <w:qFormat/>
    <w:rsid w:val="00B23537"/>
    <w:pPr>
      <w:pBdr>
        <w:top w:val="single" w:sz="2" w:space="10" w:color="808080" w:themeColor="background1" w:themeShade="80" w:shadow="1"/>
        <w:left w:val="single" w:sz="2" w:space="10" w:color="808080" w:themeColor="background1" w:themeShade="80" w:shadow="1"/>
        <w:bottom w:val="single" w:sz="2" w:space="10" w:color="808080" w:themeColor="background1" w:themeShade="80" w:shadow="1"/>
        <w:right w:val="single" w:sz="2" w:space="10" w:color="808080" w:themeColor="background1" w:themeShade="80" w:shadow="1"/>
      </w:pBdr>
      <w:tabs>
        <w:tab w:val="center" w:pos="4680"/>
        <w:tab w:val="right" w:pos="9360"/>
      </w:tabs>
      <w:ind w:left="1152" w:right="1152"/>
    </w:pPr>
    <w:rPr>
      <w:rFonts w:eastAsiaTheme="minorEastAsia"/>
      <w:i/>
      <w:iCs/>
      <w:szCs w:val="24"/>
    </w:rPr>
  </w:style>
  <w:style w:type="paragraph" w:customStyle="1" w:styleId="ListNumbered">
    <w:name w:val="*List Numbered"/>
    <w:qFormat/>
    <w:rsid w:val="00B23537"/>
    <w:pPr>
      <w:numPr>
        <w:numId w:val="21"/>
      </w:numPr>
    </w:pPr>
    <w:rPr>
      <w:sz w:val="24"/>
    </w:rPr>
  </w:style>
  <w:style w:type="paragraph" w:customStyle="1" w:styleId="NoSpace">
    <w:name w:val="*No Space"/>
    <w:qFormat/>
    <w:rsid w:val="00B23537"/>
    <w:pPr>
      <w:spacing w:after="0" w:line="240" w:lineRule="auto"/>
    </w:pPr>
    <w:rPr>
      <w:bCs/>
      <w:sz w:val="24"/>
      <w:szCs w:val="24"/>
    </w:rPr>
  </w:style>
  <w:style w:type="table" w:styleId="MediumList2-Accent1">
    <w:name w:val="Medium List 2 Accent 1"/>
    <w:basedOn w:val="TableNormal"/>
    <w:uiPriority w:val="66"/>
    <w:rsid w:val="00E526D3"/>
    <w:pPr>
      <w:spacing w:after="0" w:line="240" w:lineRule="auto"/>
    </w:pPr>
    <w:rPr>
      <w:rFonts w:asciiTheme="majorHAnsi" w:eastAsiaTheme="majorEastAsia" w:hAnsiTheme="majorHAnsi" w:cstheme="majorBidi"/>
      <w:color w:val="000000" w:themeColor="text1"/>
      <w:lang w:bidi="ar-SA"/>
    </w:rPr>
    <w:tblPr>
      <w:tblStyleRowBandSize w:val="1"/>
      <w:tblStyleColBandSize w:val="1"/>
      <w:tblBorders>
        <w:top w:val="single" w:sz="8" w:space="0" w:color="115D8F" w:themeColor="accent1"/>
        <w:left w:val="single" w:sz="8" w:space="0" w:color="115D8F" w:themeColor="accent1"/>
        <w:bottom w:val="single" w:sz="8" w:space="0" w:color="115D8F" w:themeColor="accent1"/>
        <w:right w:val="single" w:sz="8" w:space="0" w:color="115D8F" w:themeColor="accent1"/>
      </w:tblBorders>
    </w:tblPr>
    <w:tblStylePr w:type="firstRow">
      <w:rPr>
        <w:sz w:val="24"/>
        <w:szCs w:val="24"/>
      </w:rPr>
      <w:tblPr/>
      <w:tcPr>
        <w:tcBorders>
          <w:top w:val="nil"/>
          <w:left w:val="nil"/>
          <w:bottom w:val="single" w:sz="24" w:space="0" w:color="115D8F" w:themeColor="accent1"/>
          <w:right w:val="nil"/>
          <w:insideH w:val="nil"/>
          <w:insideV w:val="nil"/>
        </w:tcBorders>
        <w:shd w:val="clear" w:color="auto" w:fill="FFFFFF" w:themeFill="background1"/>
      </w:tcPr>
    </w:tblStylePr>
    <w:tblStylePr w:type="lastRow">
      <w:tblPr/>
      <w:tcPr>
        <w:tcBorders>
          <w:top w:val="single" w:sz="8" w:space="0" w:color="115D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5D8F" w:themeColor="accent1"/>
          <w:insideH w:val="nil"/>
          <w:insideV w:val="nil"/>
        </w:tcBorders>
        <w:shd w:val="clear" w:color="auto" w:fill="FFFFFF" w:themeFill="background1"/>
      </w:tcPr>
    </w:tblStylePr>
    <w:tblStylePr w:type="lastCol">
      <w:tblPr/>
      <w:tcPr>
        <w:tcBorders>
          <w:top w:val="nil"/>
          <w:left w:val="single" w:sz="8" w:space="0" w:color="115D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DAF5" w:themeFill="accent1" w:themeFillTint="3F"/>
      </w:tcPr>
    </w:tblStylePr>
    <w:tblStylePr w:type="band1Horz">
      <w:tblPr/>
      <w:tcPr>
        <w:tcBorders>
          <w:top w:val="nil"/>
          <w:bottom w:val="nil"/>
          <w:insideH w:val="nil"/>
          <w:insideV w:val="nil"/>
        </w:tcBorders>
        <w:shd w:val="clear" w:color="auto" w:fill="B1DA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Text">
    <w:name w:val="*Table Text"/>
    <w:qFormat/>
    <w:rsid w:val="00B23537"/>
    <w:pPr>
      <w:spacing w:after="0" w:line="240" w:lineRule="auto"/>
      <w:contextualSpacing/>
    </w:pPr>
    <w:rPr>
      <w:rFonts w:ascii="Calibri" w:eastAsiaTheme="majorEastAsia" w:hAnsi="Calibri" w:cstheme="majorBidi"/>
      <w:bCs/>
      <w:sz w:val="24"/>
      <w:szCs w:val="24"/>
      <w:lang w:bidi="ar-SA"/>
    </w:rPr>
  </w:style>
  <w:style w:type="paragraph" w:customStyle="1" w:styleId="Title">
    <w:name w:val="*Title"/>
    <w:qFormat/>
    <w:rsid w:val="009C5F57"/>
    <w:rPr>
      <w:caps/>
      <w:color w:val="40A289" w:themeColor="accent2"/>
      <w:sz w:val="52"/>
      <w:szCs w:val="52"/>
    </w:rPr>
  </w:style>
  <w:style w:type="table" w:styleId="GridTable3-Accent6">
    <w:name w:val="Grid Table 3 Accent 6"/>
    <w:basedOn w:val="TableNormal"/>
    <w:uiPriority w:val="48"/>
    <w:rsid w:val="00270302"/>
    <w:pPr>
      <w:spacing w:after="0" w:line="240" w:lineRule="auto"/>
    </w:pPr>
    <w:tblPr>
      <w:tblStyleRowBandSize w:val="1"/>
      <w:tblStyleColBandSize w:val="1"/>
      <w:tblBorders>
        <w:top w:val="single" w:sz="4" w:space="0" w:color="CDD0CF" w:themeColor="accent6" w:themeTint="99"/>
        <w:left w:val="single" w:sz="4" w:space="0" w:color="CDD0CF" w:themeColor="accent6" w:themeTint="99"/>
        <w:bottom w:val="single" w:sz="4" w:space="0" w:color="CDD0CF" w:themeColor="accent6" w:themeTint="99"/>
        <w:right w:val="single" w:sz="4" w:space="0" w:color="CDD0CF" w:themeColor="accent6" w:themeTint="99"/>
        <w:insideH w:val="single" w:sz="4" w:space="0" w:color="CDD0CF" w:themeColor="accent6" w:themeTint="99"/>
        <w:insideV w:val="single" w:sz="4" w:space="0" w:color="CDD0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F" w:themeFill="accent6" w:themeFillTint="33"/>
      </w:tcPr>
    </w:tblStylePr>
    <w:tblStylePr w:type="band1Horz">
      <w:tblPr/>
      <w:tcPr>
        <w:shd w:val="clear" w:color="auto" w:fill="EEEFEF" w:themeFill="accent6" w:themeFillTint="33"/>
      </w:tcPr>
    </w:tblStylePr>
    <w:tblStylePr w:type="neCell">
      <w:tblPr/>
      <w:tcPr>
        <w:tcBorders>
          <w:bottom w:val="single" w:sz="4" w:space="0" w:color="CDD0CF" w:themeColor="accent6" w:themeTint="99"/>
        </w:tcBorders>
      </w:tcPr>
    </w:tblStylePr>
    <w:tblStylePr w:type="nwCell">
      <w:tblPr/>
      <w:tcPr>
        <w:tcBorders>
          <w:bottom w:val="single" w:sz="4" w:space="0" w:color="CDD0CF" w:themeColor="accent6" w:themeTint="99"/>
        </w:tcBorders>
      </w:tcPr>
    </w:tblStylePr>
    <w:tblStylePr w:type="seCell">
      <w:tblPr/>
      <w:tcPr>
        <w:tcBorders>
          <w:top w:val="single" w:sz="4" w:space="0" w:color="CDD0CF" w:themeColor="accent6" w:themeTint="99"/>
        </w:tcBorders>
      </w:tcPr>
    </w:tblStylePr>
    <w:tblStylePr w:type="swCell">
      <w:tblPr/>
      <w:tcPr>
        <w:tcBorders>
          <w:top w:val="single" w:sz="4" w:space="0" w:color="CDD0CF" w:themeColor="accent6" w:themeTint="99"/>
        </w:tcBorders>
      </w:tcPr>
    </w:tblStylePr>
  </w:style>
  <w:style w:type="table" w:styleId="GridTable6Colorful-Accent6">
    <w:name w:val="Grid Table 6 Colorful Accent 6"/>
    <w:basedOn w:val="TableNormal"/>
    <w:uiPriority w:val="51"/>
    <w:rsid w:val="00270302"/>
    <w:pPr>
      <w:spacing w:after="0" w:line="240" w:lineRule="auto"/>
    </w:pPr>
    <w:rPr>
      <w:color w:val="7F8684" w:themeColor="accent6" w:themeShade="BF"/>
    </w:rPr>
    <w:tblPr>
      <w:tblStyleRowBandSize w:val="1"/>
      <w:tblStyleColBandSize w:val="1"/>
      <w:tblBorders>
        <w:top w:val="single" w:sz="4" w:space="0" w:color="CDD0CF" w:themeColor="accent6" w:themeTint="99"/>
        <w:left w:val="single" w:sz="4" w:space="0" w:color="CDD0CF" w:themeColor="accent6" w:themeTint="99"/>
        <w:bottom w:val="single" w:sz="4" w:space="0" w:color="CDD0CF" w:themeColor="accent6" w:themeTint="99"/>
        <w:right w:val="single" w:sz="4" w:space="0" w:color="CDD0CF" w:themeColor="accent6" w:themeTint="99"/>
        <w:insideH w:val="single" w:sz="4" w:space="0" w:color="CDD0CF" w:themeColor="accent6" w:themeTint="99"/>
        <w:insideV w:val="single" w:sz="4" w:space="0" w:color="CDD0CF" w:themeColor="accent6" w:themeTint="99"/>
      </w:tblBorders>
    </w:tblPr>
    <w:tblStylePr w:type="firstRow">
      <w:rPr>
        <w:b/>
        <w:bCs/>
      </w:rPr>
      <w:tblPr/>
      <w:tcPr>
        <w:tcBorders>
          <w:bottom w:val="single" w:sz="12" w:space="0" w:color="CDD0CF" w:themeColor="accent6" w:themeTint="99"/>
        </w:tcBorders>
      </w:tcPr>
    </w:tblStylePr>
    <w:tblStylePr w:type="lastRow">
      <w:rPr>
        <w:b/>
        <w:bCs/>
      </w:rPr>
      <w:tblPr/>
      <w:tcPr>
        <w:tcBorders>
          <w:top w:val="double" w:sz="4" w:space="0" w:color="CDD0CF" w:themeColor="accent6" w:themeTint="99"/>
        </w:tcBorders>
      </w:tcPr>
    </w:tblStylePr>
    <w:tblStylePr w:type="firstCol">
      <w:rPr>
        <w:b/>
        <w:bCs/>
      </w:rPr>
    </w:tblStylePr>
    <w:tblStylePr w:type="lastCol">
      <w:rPr>
        <w:b/>
        <w:bCs/>
      </w:rPr>
    </w:tblStylePr>
    <w:tblStylePr w:type="band1Vert">
      <w:tblPr/>
      <w:tcPr>
        <w:shd w:val="clear" w:color="auto" w:fill="EEEFEF" w:themeFill="accent6" w:themeFillTint="33"/>
      </w:tcPr>
    </w:tblStylePr>
    <w:tblStylePr w:type="band1Horz">
      <w:tblPr/>
      <w:tcPr>
        <w:shd w:val="clear" w:color="auto" w:fill="EEEFEF" w:themeFill="accent6" w:themeFillTint="33"/>
      </w:tcPr>
    </w:tblStylePr>
  </w:style>
  <w:style w:type="table" w:styleId="ListTable6Colorful-Accent6">
    <w:name w:val="List Table 6 Colorful Accent 6"/>
    <w:basedOn w:val="TableNormal"/>
    <w:uiPriority w:val="51"/>
    <w:rsid w:val="00270302"/>
    <w:pPr>
      <w:spacing w:after="0" w:line="240" w:lineRule="auto"/>
    </w:pPr>
    <w:rPr>
      <w:color w:val="7F8684" w:themeColor="accent6" w:themeShade="BF"/>
    </w:rPr>
    <w:tblPr>
      <w:tblStyleRowBandSize w:val="1"/>
      <w:tblStyleColBandSize w:val="1"/>
      <w:tblBorders>
        <w:top w:val="single" w:sz="4" w:space="0" w:color="ADB1B0" w:themeColor="accent6"/>
        <w:bottom w:val="single" w:sz="4" w:space="0" w:color="ADB1B0" w:themeColor="accent6"/>
      </w:tblBorders>
    </w:tblPr>
    <w:tblStylePr w:type="firstRow">
      <w:rPr>
        <w:b/>
        <w:bCs/>
      </w:rPr>
      <w:tblPr/>
      <w:tcPr>
        <w:tcBorders>
          <w:bottom w:val="single" w:sz="4" w:space="0" w:color="ADB1B0" w:themeColor="accent6"/>
        </w:tcBorders>
      </w:tcPr>
    </w:tblStylePr>
    <w:tblStylePr w:type="lastRow">
      <w:rPr>
        <w:b/>
        <w:bCs/>
      </w:rPr>
      <w:tblPr/>
      <w:tcPr>
        <w:tcBorders>
          <w:top w:val="double" w:sz="4" w:space="0" w:color="ADB1B0" w:themeColor="accent6"/>
        </w:tcBorders>
      </w:tcPr>
    </w:tblStylePr>
    <w:tblStylePr w:type="firstCol">
      <w:rPr>
        <w:b/>
        <w:bCs/>
      </w:rPr>
    </w:tblStylePr>
    <w:tblStylePr w:type="lastCol">
      <w:rPr>
        <w:b/>
        <w:bCs/>
      </w:rPr>
    </w:tblStylePr>
    <w:tblStylePr w:type="band1Vert">
      <w:tblPr/>
      <w:tcPr>
        <w:shd w:val="clear" w:color="auto" w:fill="EEEFEF" w:themeFill="accent6" w:themeFillTint="33"/>
      </w:tcPr>
    </w:tblStylePr>
    <w:tblStylePr w:type="band1Horz">
      <w:tblPr/>
      <w:tcPr>
        <w:shd w:val="clear" w:color="auto" w:fill="EEEFEF" w:themeFill="accent6" w:themeFillTint="33"/>
      </w:tcPr>
    </w:tblStylePr>
  </w:style>
  <w:style w:type="table" w:styleId="GridTable4-Accent1">
    <w:name w:val="Grid Table 4 Accent 1"/>
    <w:basedOn w:val="TableNormal"/>
    <w:uiPriority w:val="49"/>
    <w:rsid w:val="00270302"/>
    <w:pPr>
      <w:spacing w:after="0" w:line="240" w:lineRule="auto"/>
    </w:pPr>
    <w:tblPr>
      <w:tblStyleRowBandSize w:val="1"/>
      <w:tblStyleColBandSize w:val="1"/>
      <w:tblBorders>
        <w:top w:val="single" w:sz="4" w:space="0" w:color="43A6E8" w:themeColor="accent1" w:themeTint="99"/>
        <w:left w:val="single" w:sz="4" w:space="0" w:color="43A6E8" w:themeColor="accent1" w:themeTint="99"/>
        <w:bottom w:val="single" w:sz="4" w:space="0" w:color="43A6E8" w:themeColor="accent1" w:themeTint="99"/>
        <w:right w:val="single" w:sz="4" w:space="0" w:color="43A6E8" w:themeColor="accent1" w:themeTint="99"/>
        <w:insideH w:val="single" w:sz="4" w:space="0" w:color="43A6E8" w:themeColor="accent1" w:themeTint="99"/>
        <w:insideV w:val="single" w:sz="4" w:space="0" w:color="43A6E8" w:themeColor="accent1" w:themeTint="99"/>
      </w:tblBorders>
    </w:tblPr>
    <w:tblStylePr w:type="firstRow">
      <w:rPr>
        <w:b/>
        <w:bCs/>
        <w:color w:val="FFFFFF" w:themeColor="background1"/>
      </w:rPr>
      <w:tblPr/>
      <w:tcPr>
        <w:tcBorders>
          <w:top w:val="single" w:sz="4" w:space="0" w:color="115D8F" w:themeColor="accent1"/>
          <w:left w:val="single" w:sz="4" w:space="0" w:color="115D8F" w:themeColor="accent1"/>
          <w:bottom w:val="single" w:sz="4" w:space="0" w:color="115D8F" w:themeColor="accent1"/>
          <w:right w:val="single" w:sz="4" w:space="0" w:color="115D8F" w:themeColor="accent1"/>
          <w:insideH w:val="nil"/>
          <w:insideV w:val="nil"/>
        </w:tcBorders>
        <w:shd w:val="clear" w:color="auto" w:fill="115D8F" w:themeFill="accent1"/>
      </w:tcPr>
    </w:tblStylePr>
    <w:tblStylePr w:type="lastRow">
      <w:rPr>
        <w:b/>
        <w:bCs/>
      </w:rPr>
      <w:tblPr/>
      <w:tcPr>
        <w:tcBorders>
          <w:top w:val="double" w:sz="4" w:space="0" w:color="115D8F" w:themeColor="accent1"/>
        </w:tcBorders>
      </w:tcPr>
    </w:tblStylePr>
    <w:tblStylePr w:type="firstCol">
      <w:rPr>
        <w:b/>
        <w:bCs/>
      </w:rPr>
    </w:tblStylePr>
    <w:tblStylePr w:type="lastCol">
      <w:rPr>
        <w:b/>
        <w:bCs/>
      </w:rPr>
    </w:tblStylePr>
    <w:tblStylePr w:type="band1Vert">
      <w:tblPr/>
      <w:tcPr>
        <w:shd w:val="clear" w:color="auto" w:fill="C0E1F7" w:themeFill="accent1" w:themeFillTint="33"/>
      </w:tcPr>
    </w:tblStylePr>
    <w:tblStylePr w:type="band1Horz">
      <w:tblPr/>
      <w:tcPr>
        <w:shd w:val="clear" w:color="auto" w:fill="C0E1F7" w:themeFill="accent1" w:themeFillTint="33"/>
      </w:tcPr>
    </w:tblStylePr>
  </w:style>
  <w:style w:type="table" w:styleId="GridTable3">
    <w:name w:val="Grid Table 3"/>
    <w:basedOn w:val="TableNormal"/>
    <w:uiPriority w:val="48"/>
    <w:rsid w:val="002703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1E0A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521C"/>
    <w:pPr>
      <w:spacing w:after="0" w:line="240" w:lineRule="auto"/>
    </w:pPr>
    <w:tblPr>
      <w:tblStyleRowBandSize w:val="1"/>
      <w:tblStyleColBandSize w:val="1"/>
      <w:tblBorders>
        <w:top w:val="single" w:sz="2" w:space="0" w:color="43A6E8" w:themeColor="accent1" w:themeTint="99"/>
        <w:bottom w:val="single" w:sz="2" w:space="0" w:color="43A6E8" w:themeColor="accent1" w:themeTint="99"/>
        <w:insideH w:val="single" w:sz="2" w:space="0" w:color="43A6E8" w:themeColor="accent1" w:themeTint="99"/>
        <w:insideV w:val="single" w:sz="2" w:space="0" w:color="43A6E8" w:themeColor="accent1" w:themeTint="99"/>
      </w:tblBorders>
    </w:tblPr>
    <w:tblStylePr w:type="firstRow">
      <w:rPr>
        <w:b/>
        <w:bCs/>
      </w:rPr>
      <w:tblPr/>
      <w:tcPr>
        <w:tcBorders>
          <w:top w:val="nil"/>
          <w:bottom w:val="single" w:sz="12" w:space="0" w:color="43A6E8" w:themeColor="accent1" w:themeTint="99"/>
          <w:insideH w:val="nil"/>
          <w:insideV w:val="nil"/>
        </w:tcBorders>
        <w:shd w:val="clear" w:color="auto" w:fill="FFFFFF" w:themeFill="background1"/>
      </w:tcPr>
    </w:tblStylePr>
    <w:tblStylePr w:type="lastRow">
      <w:rPr>
        <w:b/>
        <w:bCs/>
      </w:rPr>
      <w:tblPr/>
      <w:tcPr>
        <w:tcBorders>
          <w:top w:val="double" w:sz="2" w:space="0" w:color="43A6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1F7" w:themeFill="accent1" w:themeFillTint="33"/>
      </w:tcPr>
    </w:tblStylePr>
    <w:tblStylePr w:type="band1Horz">
      <w:tblPr/>
      <w:tcPr>
        <w:shd w:val="clear" w:color="auto" w:fill="C0E1F7" w:themeFill="accent1" w:themeFillTint="33"/>
      </w:tcPr>
    </w:tblStylePr>
  </w:style>
  <w:style w:type="table" w:styleId="GridTable2-Accent2">
    <w:name w:val="Grid Table 2 Accent 2"/>
    <w:basedOn w:val="TableNormal"/>
    <w:uiPriority w:val="47"/>
    <w:rsid w:val="0014521C"/>
    <w:pPr>
      <w:spacing w:after="0" w:line="240" w:lineRule="auto"/>
    </w:pPr>
    <w:tblPr>
      <w:tblStyleRowBandSize w:val="1"/>
      <w:tblStyleColBandSize w:val="1"/>
      <w:tblBorders>
        <w:top w:val="single" w:sz="2" w:space="0" w:color="84CEBB" w:themeColor="accent2" w:themeTint="99"/>
        <w:bottom w:val="single" w:sz="2" w:space="0" w:color="84CEBB" w:themeColor="accent2" w:themeTint="99"/>
        <w:insideH w:val="single" w:sz="2" w:space="0" w:color="84CEBB" w:themeColor="accent2" w:themeTint="99"/>
        <w:insideV w:val="single" w:sz="2" w:space="0" w:color="84CEBB" w:themeColor="accent2" w:themeTint="99"/>
      </w:tblBorders>
    </w:tblPr>
    <w:tblStylePr w:type="firstRow">
      <w:rPr>
        <w:b/>
        <w:bCs/>
      </w:rPr>
      <w:tblPr/>
      <w:tcPr>
        <w:tcBorders>
          <w:top w:val="nil"/>
          <w:bottom w:val="single" w:sz="12" w:space="0" w:color="84CEBB" w:themeColor="accent2" w:themeTint="99"/>
          <w:insideH w:val="nil"/>
          <w:insideV w:val="nil"/>
        </w:tcBorders>
        <w:shd w:val="clear" w:color="auto" w:fill="FFFFFF" w:themeFill="background1"/>
      </w:tcPr>
    </w:tblStylePr>
    <w:tblStylePr w:type="lastRow">
      <w:rPr>
        <w:b/>
        <w:bCs/>
      </w:rPr>
      <w:tblPr/>
      <w:tcPr>
        <w:tcBorders>
          <w:top w:val="double" w:sz="2" w:space="0" w:color="84CE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FE8" w:themeFill="accent2" w:themeFillTint="33"/>
      </w:tcPr>
    </w:tblStylePr>
    <w:tblStylePr w:type="band1Horz">
      <w:tblPr/>
      <w:tcPr>
        <w:shd w:val="clear" w:color="auto" w:fill="D6EFE8" w:themeFill="accent2" w:themeFillTint="33"/>
      </w:tcPr>
    </w:tblStylePr>
  </w:style>
  <w:style w:type="table" w:styleId="GridTable2-Accent4">
    <w:name w:val="Grid Table 2 Accent 4"/>
    <w:basedOn w:val="TableNormal"/>
    <w:uiPriority w:val="47"/>
    <w:rsid w:val="0014521C"/>
    <w:pPr>
      <w:spacing w:after="0" w:line="240" w:lineRule="auto"/>
    </w:pPr>
    <w:tblPr>
      <w:tblStyleRowBandSize w:val="1"/>
      <w:tblStyleColBandSize w:val="1"/>
      <w:tblBorders>
        <w:top w:val="single" w:sz="2" w:space="0" w:color="FCD079" w:themeColor="accent4" w:themeTint="99"/>
        <w:bottom w:val="single" w:sz="2" w:space="0" w:color="FCD079" w:themeColor="accent4" w:themeTint="99"/>
        <w:insideH w:val="single" w:sz="2" w:space="0" w:color="FCD079" w:themeColor="accent4" w:themeTint="99"/>
        <w:insideV w:val="single" w:sz="2" w:space="0" w:color="FCD079" w:themeColor="accent4" w:themeTint="99"/>
      </w:tblBorders>
    </w:tblPr>
    <w:tblStylePr w:type="firstRow">
      <w:rPr>
        <w:b/>
        <w:bCs/>
      </w:rPr>
      <w:tblPr/>
      <w:tcPr>
        <w:tcBorders>
          <w:top w:val="nil"/>
          <w:bottom w:val="single" w:sz="12" w:space="0" w:color="FCD079" w:themeColor="accent4" w:themeTint="99"/>
          <w:insideH w:val="nil"/>
          <w:insideV w:val="nil"/>
        </w:tcBorders>
        <w:shd w:val="clear" w:color="auto" w:fill="FFFFFF" w:themeFill="background1"/>
      </w:tcPr>
    </w:tblStylePr>
    <w:tblStylePr w:type="lastRow">
      <w:rPr>
        <w:b/>
        <w:bCs/>
      </w:rPr>
      <w:tblPr/>
      <w:tcPr>
        <w:tcBorders>
          <w:top w:val="double" w:sz="2" w:space="0" w:color="FCD0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FD2" w:themeFill="accent4" w:themeFillTint="33"/>
      </w:tcPr>
    </w:tblStylePr>
    <w:tblStylePr w:type="band1Horz">
      <w:tblPr/>
      <w:tcPr>
        <w:shd w:val="clear" w:color="auto" w:fill="FEEFD2" w:themeFill="accent4" w:themeFillTint="33"/>
      </w:tcPr>
    </w:tblStylePr>
  </w:style>
  <w:style w:type="table" w:styleId="GridTable2-Accent3">
    <w:name w:val="Grid Table 2 Accent 3"/>
    <w:basedOn w:val="TableNormal"/>
    <w:uiPriority w:val="47"/>
    <w:rsid w:val="008A4273"/>
    <w:pPr>
      <w:spacing w:after="0" w:line="240" w:lineRule="auto"/>
    </w:pPr>
    <w:tblPr>
      <w:tblStyleRowBandSize w:val="1"/>
      <w:tblStyleColBandSize w:val="1"/>
      <w:tblBorders>
        <w:top w:val="single" w:sz="2" w:space="0" w:color="EFF1F3" w:themeColor="accent3" w:themeTint="99"/>
        <w:bottom w:val="single" w:sz="2" w:space="0" w:color="EFF1F3" w:themeColor="accent3" w:themeTint="99"/>
        <w:insideH w:val="single" w:sz="2" w:space="0" w:color="EFF1F3" w:themeColor="accent3" w:themeTint="99"/>
        <w:insideV w:val="single" w:sz="2" w:space="0" w:color="EFF1F3" w:themeColor="accent3" w:themeTint="99"/>
      </w:tblBorders>
    </w:tblPr>
    <w:tblStylePr w:type="firstRow">
      <w:rPr>
        <w:b/>
        <w:bCs/>
      </w:rPr>
      <w:tblPr/>
      <w:tcPr>
        <w:tcBorders>
          <w:top w:val="nil"/>
          <w:bottom w:val="single" w:sz="12" w:space="0" w:color="EFF1F3" w:themeColor="accent3" w:themeTint="99"/>
          <w:insideH w:val="nil"/>
          <w:insideV w:val="nil"/>
        </w:tcBorders>
        <w:shd w:val="clear" w:color="auto" w:fill="FFFFFF" w:themeFill="background1"/>
      </w:tcPr>
    </w:tblStylePr>
    <w:tblStylePr w:type="lastRow">
      <w:rPr>
        <w:b/>
        <w:bCs/>
      </w:rPr>
      <w:tblPr/>
      <w:tcPr>
        <w:tcBorders>
          <w:top w:val="double" w:sz="2" w:space="0" w:color="EFF1F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B" w:themeFill="accent3" w:themeFillTint="33"/>
      </w:tcPr>
    </w:tblStylePr>
    <w:tblStylePr w:type="band1Horz">
      <w:tblPr/>
      <w:tcPr>
        <w:shd w:val="clear" w:color="auto" w:fill="F9FAFB" w:themeFill="accent3" w:themeFillTint="33"/>
      </w:tcPr>
    </w:tblStylePr>
  </w:style>
  <w:style w:type="table" w:styleId="GridTable4-Accent5">
    <w:name w:val="Grid Table 4 Accent 5"/>
    <w:basedOn w:val="TableNormal"/>
    <w:uiPriority w:val="49"/>
    <w:rsid w:val="00635AFB"/>
    <w:pPr>
      <w:spacing w:after="0" w:line="240" w:lineRule="auto"/>
    </w:pPr>
    <w:tblPr>
      <w:tblStyleRowBandSize w:val="1"/>
      <w:tblStyleColBandSize w:val="1"/>
      <w:tblBorders>
        <w:top w:val="single" w:sz="4" w:space="0" w:color="64C7AB" w:themeColor="accent5" w:themeTint="99"/>
        <w:left w:val="single" w:sz="4" w:space="0" w:color="64C7AB" w:themeColor="accent5" w:themeTint="99"/>
        <w:bottom w:val="single" w:sz="4" w:space="0" w:color="64C7AB" w:themeColor="accent5" w:themeTint="99"/>
        <w:right w:val="single" w:sz="4" w:space="0" w:color="64C7AB" w:themeColor="accent5" w:themeTint="99"/>
        <w:insideH w:val="single" w:sz="4" w:space="0" w:color="64C7AB" w:themeColor="accent5" w:themeTint="99"/>
        <w:insideV w:val="single" w:sz="4" w:space="0" w:color="64C7AB" w:themeColor="accent5" w:themeTint="99"/>
      </w:tblBorders>
    </w:tblPr>
    <w:tblStylePr w:type="firstRow">
      <w:rPr>
        <w:b/>
        <w:bCs/>
        <w:color w:val="FFFFFF" w:themeColor="background1"/>
      </w:rPr>
      <w:tblPr/>
      <w:tcPr>
        <w:tcBorders>
          <w:top w:val="single" w:sz="4" w:space="0" w:color="2A7560" w:themeColor="accent5"/>
          <w:left w:val="single" w:sz="4" w:space="0" w:color="2A7560" w:themeColor="accent5"/>
          <w:bottom w:val="single" w:sz="4" w:space="0" w:color="2A7560" w:themeColor="accent5"/>
          <w:right w:val="single" w:sz="4" w:space="0" w:color="2A7560" w:themeColor="accent5"/>
          <w:insideH w:val="nil"/>
          <w:insideV w:val="nil"/>
        </w:tcBorders>
        <w:shd w:val="clear" w:color="auto" w:fill="2A7560" w:themeFill="accent5"/>
      </w:tcPr>
    </w:tblStylePr>
    <w:tblStylePr w:type="lastRow">
      <w:rPr>
        <w:b/>
        <w:bCs/>
      </w:rPr>
      <w:tblPr/>
      <w:tcPr>
        <w:tcBorders>
          <w:top w:val="double" w:sz="4" w:space="0" w:color="2A7560" w:themeColor="accent5"/>
        </w:tcBorders>
      </w:tcPr>
    </w:tblStylePr>
    <w:tblStylePr w:type="firstCol">
      <w:rPr>
        <w:b/>
        <w:bCs/>
      </w:rPr>
    </w:tblStylePr>
    <w:tblStylePr w:type="lastCol">
      <w:rPr>
        <w:b/>
        <w:bCs/>
      </w:rPr>
    </w:tblStylePr>
    <w:tblStylePr w:type="band1Vert">
      <w:tblPr/>
      <w:tcPr>
        <w:shd w:val="clear" w:color="auto" w:fill="CBECE3" w:themeFill="accent5" w:themeFillTint="33"/>
      </w:tcPr>
    </w:tblStylePr>
    <w:tblStylePr w:type="band1Horz">
      <w:tblPr/>
      <w:tcPr>
        <w:shd w:val="clear" w:color="auto" w:fill="CBECE3" w:themeFill="accent5" w:themeFillTint="33"/>
      </w:tcPr>
    </w:tblStylePr>
  </w:style>
  <w:style w:type="table" w:styleId="GridTable4-Accent6">
    <w:name w:val="Grid Table 4 Accent 6"/>
    <w:basedOn w:val="TableNormal"/>
    <w:uiPriority w:val="49"/>
    <w:rsid w:val="00635AFB"/>
    <w:pPr>
      <w:spacing w:after="0" w:line="240" w:lineRule="auto"/>
    </w:pPr>
    <w:tblPr>
      <w:tblStyleRowBandSize w:val="1"/>
      <w:tblStyleColBandSize w:val="1"/>
      <w:tblBorders>
        <w:top w:val="single" w:sz="4" w:space="0" w:color="CDD0CF" w:themeColor="accent6" w:themeTint="99"/>
        <w:left w:val="single" w:sz="4" w:space="0" w:color="CDD0CF" w:themeColor="accent6" w:themeTint="99"/>
        <w:bottom w:val="single" w:sz="4" w:space="0" w:color="CDD0CF" w:themeColor="accent6" w:themeTint="99"/>
        <w:right w:val="single" w:sz="4" w:space="0" w:color="CDD0CF" w:themeColor="accent6" w:themeTint="99"/>
        <w:insideH w:val="single" w:sz="4" w:space="0" w:color="CDD0CF" w:themeColor="accent6" w:themeTint="99"/>
        <w:insideV w:val="single" w:sz="4" w:space="0" w:color="CDD0CF" w:themeColor="accent6" w:themeTint="99"/>
      </w:tblBorders>
    </w:tblPr>
    <w:tblStylePr w:type="firstRow">
      <w:rPr>
        <w:b/>
        <w:bCs/>
        <w:color w:val="FFFFFF" w:themeColor="background1"/>
      </w:rPr>
      <w:tblPr/>
      <w:tcPr>
        <w:tcBorders>
          <w:top w:val="single" w:sz="4" w:space="0" w:color="ADB1B0" w:themeColor="accent6"/>
          <w:left w:val="single" w:sz="4" w:space="0" w:color="ADB1B0" w:themeColor="accent6"/>
          <w:bottom w:val="single" w:sz="4" w:space="0" w:color="ADB1B0" w:themeColor="accent6"/>
          <w:right w:val="single" w:sz="4" w:space="0" w:color="ADB1B0" w:themeColor="accent6"/>
          <w:insideH w:val="nil"/>
          <w:insideV w:val="nil"/>
        </w:tcBorders>
        <w:shd w:val="clear" w:color="auto" w:fill="ADB1B0" w:themeFill="accent6"/>
      </w:tcPr>
    </w:tblStylePr>
    <w:tblStylePr w:type="lastRow">
      <w:rPr>
        <w:b/>
        <w:bCs/>
      </w:rPr>
      <w:tblPr/>
      <w:tcPr>
        <w:tcBorders>
          <w:top w:val="double" w:sz="4" w:space="0" w:color="ADB1B0" w:themeColor="accent6"/>
        </w:tcBorders>
      </w:tcPr>
    </w:tblStylePr>
    <w:tblStylePr w:type="firstCol">
      <w:rPr>
        <w:b/>
        <w:bCs/>
      </w:rPr>
    </w:tblStylePr>
    <w:tblStylePr w:type="lastCol">
      <w:rPr>
        <w:b/>
        <w:bCs/>
      </w:rPr>
    </w:tblStylePr>
    <w:tblStylePr w:type="band1Vert">
      <w:tblPr/>
      <w:tcPr>
        <w:shd w:val="clear" w:color="auto" w:fill="EEEFEF" w:themeFill="accent6" w:themeFillTint="33"/>
      </w:tcPr>
    </w:tblStylePr>
    <w:tblStylePr w:type="band1Horz">
      <w:tblPr/>
      <w:tcPr>
        <w:shd w:val="clear" w:color="auto" w:fill="EEEFEF" w:themeFill="accent6" w:themeFillTint="33"/>
      </w:tcPr>
    </w:tblStylePr>
  </w:style>
  <w:style w:type="table" w:styleId="GridTable4-Accent4">
    <w:name w:val="Grid Table 4 Accent 4"/>
    <w:basedOn w:val="TableNormal"/>
    <w:uiPriority w:val="49"/>
    <w:rsid w:val="00635AFB"/>
    <w:pPr>
      <w:spacing w:after="0" w:line="240" w:lineRule="auto"/>
    </w:pPr>
    <w:tblPr>
      <w:tblStyleRowBandSize w:val="1"/>
      <w:tblStyleColBandSize w:val="1"/>
      <w:tblBorders>
        <w:top w:val="single" w:sz="4" w:space="0" w:color="FCD079" w:themeColor="accent4" w:themeTint="99"/>
        <w:left w:val="single" w:sz="4" w:space="0" w:color="FCD079" w:themeColor="accent4" w:themeTint="99"/>
        <w:bottom w:val="single" w:sz="4" w:space="0" w:color="FCD079" w:themeColor="accent4" w:themeTint="99"/>
        <w:right w:val="single" w:sz="4" w:space="0" w:color="FCD079" w:themeColor="accent4" w:themeTint="99"/>
        <w:insideH w:val="single" w:sz="4" w:space="0" w:color="FCD079" w:themeColor="accent4" w:themeTint="99"/>
        <w:insideV w:val="single" w:sz="4" w:space="0" w:color="FCD079" w:themeColor="accent4" w:themeTint="99"/>
      </w:tblBorders>
    </w:tblPr>
    <w:tblStylePr w:type="firstRow">
      <w:rPr>
        <w:b/>
        <w:bCs/>
        <w:color w:val="FFFFFF" w:themeColor="background1"/>
      </w:rPr>
      <w:tblPr/>
      <w:tcPr>
        <w:tcBorders>
          <w:top w:val="single" w:sz="4" w:space="0" w:color="FAB320" w:themeColor="accent4"/>
          <w:left w:val="single" w:sz="4" w:space="0" w:color="FAB320" w:themeColor="accent4"/>
          <w:bottom w:val="single" w:sz="4" w:space="0" w:color="FAB320" w:themeColor="accent4"/>
          <w:right w:val="single" w:sz="4" w:space="0" w:color="FAB320" w:themeColor="accent4"/>
          <w:insideH w:val="nil"/>
          <w:insideV w:val="nil"/>
        </w:tcBorders>
        <w:shd w:val="clear" w:color="auto" w:fill="FAB320" w:themeFill="accent4"/>
      </w:tcPr>
    </w:tblStylePr>
    <w:tblStylePr w:type="lastRow">
      <w:rPr>
        <w:b/>
        <w:bCs/>
      </w:rPr>
      <w:tblPr/>
      <w:tcPr>
        <w:tcBorders>
          <w:top w:val="double" w:sz="4" w:space="0" w:color="FAB320" w:themeColor="accent4"/>
        </w:tcBorders>
      </w:tcPr>
    </w:tblStylePr>
    <w:tblStylePr w:type="firstCol">
      <w:rPr>
        <w:b/>
        <w:bCs/>
      </w:rPr>
    </w:tblStylePr>
    <w:tblStylePr w:type="lastCol">
      <w:rPr>
        <w:b/>
        <w:bCs/>
      </w:rPr>
    </w:tblStylePr>
    <w:tblStylePr w:type="band1Vert">
      <w:tblPr/>
      <w:tcPr>
        <w:shd w:val="clear" w:color="auto" w:fill="FEEFD2" w:themeFill="accent4" w:themeFillTint="33"/>
      </w:tcPr>
    </w:tblStylePr>
    <w:tblStylePr w:type="band1Horz">
      <w:tblPr/>
      <w:tcPr>
        <w:shd w:val="clear" w:color="auto" w:fill="FEEFD2" w:themeFill="accent4" w:themeFillTint="33"/>
      </w:tcPr>
    </w:tblStylePr>
  </w:style>
  <w:style w:type="character" w:styleId="Hyperlink">
    <w:name w:val="Hyperlink"/>
    <w:basedOn w:val="DefaultParagraphFont"/>
    <w:uiPriority w:val="99"/>
    <w:unhideWhenUsed/>
    <w:rsid w:val="00353A84"/>
    <w:rPr>
      <w:color w:val="20B1E6" w:themeColor="hyperlink"/>
      <w:u w:val="single"/>
    </w:rPr>
  </w:style>
  <w:style w:type="character" w:styleId="UnresolvedMention">
    <w:name w:val="Unresolved Mention"/>
    <w:basedOn w:val="DefaultParagraphFont"/>
    <w:uiPriority w:val="99"/>
    <w:semiHidden/>
    <w:unhideWhenUsed/>
    <w:rsid w:val="00353A84"/>
    <w:rPr>
      <w:color w:val="605E5C"/>
      <w:shd w:val="clear" w:color="auto" w:fill="E1DFDD"/>
    </w:rPr>
  </w:style>
  <w:style w:type="character" w:styleId="FollowedHyperlink">
    <w:name w:val="FollowedHyperlink"/>
    <w:basedOn w:val="DefaultParagraphFont"/>
    <w:uiPriority w:val="99"/>
    <w:semiHidden/>
    <w:unhideWhenUsed/>
    <w:rsid w:val="005F35FC"/>
    <w:rPr>
      <w:color w:val="000000" w:themeColor="followedHyperlink"/>
      <w:u w:val="single"/>
    </w:rPr>
  </w:style>
  <w:style w:type="paragraph" w:styleId="NoSpacing">
    <w:name w:val="No Spacing"/>
    <w:link w:val="NoSpacingChar"/>
    <w:uiPriority w:val="1"/>
    <w:qFormat/>
    <w:rsid w:val="003D3AF3"/>
    <w:pPr>
      <w:spacing w:after="0" w:line="240" w:lineRule="auto"/>
    </w:pPr>
  </w:style>
  <w:style w:type="character" w:customStyle="1" w:styleId="NoSpacingChar">
    <w:name w:val="No Spacing Char"/>
    <w:basedOn w:val="DefaultParagraphFont"/>
    <w:link w:val="NoSpacing"/>
    <w:uiPriority w:val="1"/>
    <w:rsid w:val="003D3AF3"/>
  </w:style>
  <w:style w:type="table" w:styleId="GridTable1Light-Accent1">
    <w:name w:val="Grid Table 1 Light Accent 1"/>
    <w:basedOn w:val="TableNormal"/>
    <w:uiPriority w:val="46"/>
    <w:rsid w:val="003D3AF3"/>
    <w:pPr>
      <w:spacing w:after="0" w:line="240" w:lineRule="auto"/>
    </w:pPr>
    <w:tblPr>
      <w:tblStyleRowBandSize w:val="1"/>
      <w:tblStyleColBandSize w:val="1"/>
      <w:tblBorders>
        <w:top w:val="single" w:sz="4" w:space="0" w:color="81C4F0" w:themeColor="accent1" w:themeTint="66"/>
        <w:left w:val="single" w:sz="4" w:space="0" w:color="81C4F0" w:themeColor="accent1" w:themeTint="66"/>
        <w:bottom w:val="single" w:sz="4" w:space="0" w:color="81C4F0" w:themeColor="accent1" w:themeTint="66"/>
        <w:right w:val="single" w:sz="4" w:space="0" w:color="81C4F0" w:themeColor="accent1" w:themeTint="66"/>
        <w:insideH w:val="single" w:sz="4" w:space="0" w:color="81C4F0" w:themeColor="accent1" w:themeTint="66"/>
        <w:insideV w:val="single" w:sz="4" w:space="0" w:color="81C4F0" w:themeColor="accent1" w:themeTint="66"/>
      </w:tblBorders>
    </w:tblPr>
    <w:tblStylePr w:type="firstRow">
      <w:rPr>
        <w:b/>
        <w:bCs/>
      </w:rPr>
      <w:tblPr/>
      <w:tcPr>
        <w:tcBorders>
          <w:bottom w:val="single" w:sz="12" w:space="0" w:color="43A6E8" w:themeColor="accent1" w:themeTint="99"/>
        </w:tcBorders>
      </w:tcPr>
    </w:tblStylePr>
    <w:tblStylePr w:type="lastRow">
      <w:rPr>
        <w:b/>
        <w:bCs/>
      </w:rPr>
      <w:tblPr/>
      <w:tcPr>
        <w:tcBorders>
          <w:top w:val="double" w:sz="2" w:space="0" w:color="43A6E8" w:themeColor="accent1" w:themeTint="99"/>
        </w:tcBorders>
      </w:tcPr>
    </w:tblStylePr>
    <w:tblStylePr w:type="firstCol">
      <w:rPr>
        <w:b/>
        <w:bCs/>
      </w:rPr>
    </w:tblStylePr>
    <w:tblStylePr w:type="lastCol">
      <w:rPr>
        <w:b/>
        <w:bCs/>
      </w:rPr>
    </w:tblStylePr>
  </w:style>
  <w:style w:type="character" w:customStyle="1" w:styleId="ChBoldUnderline">
    <w:name w:val="*Ch Bold Underline"/>
    <w:basedOn w:val="DefaultParagraphFont"/>
    <w:uiPriority w:val="1"/>
    <w:rsid w:val="003D3AF3"/>
    <w:rPr>
      <w:b/>
      <w:u w:val="single"/>
    </w:rPr>
  </w:style>
  <w:style w:type="character" w:styleId="CommentReference">
    <w:name w:val="annotation reference"/>
    <w:basedOn w:val="DefaultParagraphFont"/>
    <w:uiPriority w:val="99"/>
    <w:semiHidden/>
    <w:unhideWhenUsed/>
    <w:rsid w:val="003D3AF3"/>
    <w:rPr>
      <w:sz w:val="16"/>
      <w:szCs w:val="16"/>
    </w:rPr>
  </w:style>
  <w:style w:type="paragraph" w:styleId="CommentText">
    <w:name w:val="annotation text"/>
    <w:basedOn w:val="Normal"/>
    <w:link w:val="CommentTextChar"/>
    <w:uiPriority w:val="99"/>
    <w:unhideWhenUsed/>
    <w:rsid w:val="003D3AF3"/>
    <w:pPr>
      <w:tabs>
        <w:tab w:val="center" w:pos="4680"/>
        <w:tab w:val="right" w:pos="9360"/>
      </w:tabs>
      <w:spacing w:before="120"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D3AF3"/>
    <w:rPr>
      <w:rFonts w:ascii="Calibri" w:eastAsia="Calibri" w:hAnsi="Calibri" w:cs="Times New Roman"/>
      <w:sz w:val="20"/>
      <w:szCs w:val="20"/>
    </w:rPr>
  </w:style>
  <w:style w:type="paragraph" w:customStyle="1" w:styleId="1ListNumberMultilevel">
    <w:name w:val="*1 List Number Multilevel"/>
    <w:basedOn w:val="BaseText"/>
    <w:rsid w:val="005718DD"/>
    <w:pPr>
      <w:numPr>
        <w:numId w:val="33"/>
      </w:numPr>
      <w:spacing w:before="0" w:after="120" w:line="240" w:lineRule="auto"/>
    </w:pPr>
    <w:rPr>
      <w:sz w:val="22"/>
    </w:rPr>
  </w:style>
  <w:style w:type="paragraph" w:customStyle="1" w:styleId="2ListNumberMultilevel">
    <w:name w:val="*2 List Number Multilevel"/>
    <w:basedOn w:val="1ListNumberMultilevel"/>
    <w:rsid w:val="005718DD"/>
    <w:pPr>
      <w:numPr>
        <w:ilvl w:val="1"/>
      </w:numPr>
    </w:pPr>
  </w:style>
  <w:style w:type="paragraph" w:customStyle="1" w:styleId="3ListNumberMultilevel">
    <w:name w:val="*3 List Number Multilevel"/>
    <w:basedOn w:val="2ListNumberMultilevel"/>
    <w:rsid w:val="005718DD"/>
    <w:pPr>
      <w:numPr>
        <w:ilvl w:val="2"/>
      </w:numPr>
    </w:pPr>
  </w:style>
  <w:style w:type="paragraph" w:styleId="Footer">
    <w:name w:val="footer"/>
    <w:basedOn w:val="Normal"/>
    <w:link w:val="FooterChar"/>
    <w:uiPriority w:val="99"/>
    <w:semiHidden/>
    <w:unhideWhenUsed/>
    <w:rsid w:val="00AC00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029"/>
  </w:style>
  <w:style w:type="paragraph" w:styleId="Revision">
    <w:name w:val="Revision"/>
    <w:hidden/>
    <w:uiPriority w:val="99"/>
    <w:semiHidden/>
    <w:rsid w:val="005637C3"/>
    <w:pPr>
      <w:spacing w:after="0" w:line="240" w:lineRule="auto"/>
    </w:pPr>
  </w:style>
  <w:style w:type="paragraph" w:styleId="CommentSubject">
    <w:name w:val="annotation subject"/>
    <w:basedOn w:val="CommentText"/>
    <w:next w:val="CommentText"/>
    <w:link w:val="CommentSubjectChar"/>
    <w:uiPriority w:val="99"/>
    <w:semiHidden/>
    <w:unhideWhenUsed/>
    <w:rsid w:val="002340A5"/>
    <w:pPr>
      <w:tabs>
        <w:tab w:val="clear" w:pos="4680"/>
        <w:tab w:val="clear" w:pos="9360"/>
      </w:tabs>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40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80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workforcesoftwar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WorkForce-Software-16x9">
  <a:themeElements>
    <a:clrScheme name="2021 Palette">
      <a:dk1>
        <a:srgbClr val="000000"/>
      </a:dk1>
      <a:lt1>
        <a:srgbClr val="FFFFFF"/>
      </a:lt1>
      <a:dk2>
        <a:srgbClr val="ADB1B0"/>
      </a:dk2>
      <a:lt2>
        <a:srgbClr val="E5E9EC"/>
      </a:lt2>
      <a:accent1>
        <a:srgbClr val="115D8F"/>
      </a:accent1>
      <a:accent2>
        <a:srgbClr val="40A289"/>
      </a:accent2>
      <a:accent3>
        <a:srgbClr val="E5E9EC"/>
      </a:accent3>
      <a:accent4>
        <a:srgbClr val="FAB320"/>
      </a:accent4>
      <a:accent5>
        <a:srgbClr val="2A7560"/>
      </a:accent5>
      <a:accent6>
        <a:srgbClr val="ADB1B0"/>
      </a:accent6>
      <a:hlink>
        <a:srgbClr val="20B1E6"/>
      </a:hlink>
      <a:folHlink>
        <a:srgbClr val="000000"/>
      </a:folHlink>
    </a:clrScheme>
    <a:fontScheme name="WF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rkForce-Software-16x9" id="{B196AB12-C2EE-4892-8FDD-BC7A6D70ADDE}" vid="{7810563C-EA0A-42B7-9FF2-90BE5D1A53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68C95CA619D4CA96CD08CCFFEC90A" ma:contentTypeVersion="16" ma:contentTypeDescription="Create a new document." ma:contentTypeScope="" ma:versionID="f483a034df985cfb5477fd5f556c4366">
  <xsd:schema xmlns:xsd="http://www.w3.org/2001/XMLSchema" xmlns:xs="http://www.w3.org/2001/XMLSchema" xmlns:p="http://schemas.microsoft.com/office/2006/metadata/properties" xmlns:ns1="http://schemas.microsoft.com/sharepoint/v3" xmlns:ns2="4d080189-2570-4e22-b38c-19a53bcc236d" xmlns:ns3="09259bd9-7e0a-41dd-8146-642a48d7f9e7" targetNamespace="http://schemas.microsoft.com/office/2006/metadata/properties" ma:root="true" ma:fieldsID="76d4e45790af15c151bb1ac764852c75" ns1:_="" ns2:_="" ns3:_="">
    <xsd:import namespace="http://schemas.microsoft.com/sharepoint/v3"/>
    <xsd:import namespace="4d080189-2570-4e22-b38c-19a53bcc236d"/>
    <xsd:import namespace="09259bd9-7e0a-41dd-8146-642a48d7f9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80189-2570-4e22-b38c-19a53bcc2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59bd9-7e0a-41dd-8146-642a48d7f9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rmSyncData>
  <TrackedTerm Uid="6abc0e59-b016-43e6-abb9-df2deba5a1b0" UniqueName="Customer_Legal_Entity_Name_1" ParentPath="" TrackName="Customer_Legal_Entity_Name" TrackedInstance="1"/>
  <TrackedTerm Uid="92dfd52a-9415-4c9d-a6d7-9b864120f59c" UniqueName="Customer_Billing_Street_1" ParentPath="" TrackName="Customer_Billing_Street" TrackedInstance="1"/>
  <TrackedTerm Uid="75d08435-5c27-4fbf-9d3a-233446df5407" UniqueName="Customer_Billing_City_1" ParentPath="" TrackName="Customer_Billing_City" TrackedInstance="1"/>
  <TrackedTerm Uid="b27fbedd-09fd-4ecc-96a4-0a622f439a87" UniqueName="Customer_Billing_State_1" ParentPath="" TrackName="Customer_Billing_State" TrackedInstance="1"/>
  <TrackedTerm Uid="e81eaa7b-1b2c-4356-b6a8-6bcb3fdcdc4a" UniqueName="Customer_Billing_Postal_Code_1" ParentPath="" TrackName="Customer_Billing_Postal_Code" TrackedInstance="1"/>
  <TrackedTerm Uid="e8cddae9-53cf-4e7d-a447-9e410e8de7c7" UniqueName="Customer_Billing_Postal_Country_1" ParentPath="" TrackName="Customer_Billing_Postal_Country" TrackedInstance="1"/>
  <TrackedTerm Uid="792ccd1f-d6ca-4a6f-a62d-4715675f9a5f" UniqueName="WFS_Hardware_Products_1/Description_1" ParentPath="WFS_Hardware_Products_1/" TrackName="Description" TrackedInstance="1"/>
  <TrackedTerm Uid="b33ac3ff-b83a-42ef-a0e3-18c541bb6e06" UniqueName="WFS_Hardware_Products_1/Quantity_1" ParentPath="WFS_Hardware_Products_1/" TrackName="Quantity" TrackedInstance="1"/>
  <TrackedTerm Uid="5e1944dc-4140-4585-abf3-1e6335f06124" UniqueName="Currency_Symbol_1" ParentPath="" TrackName="Currency_Symbol" TrackedInstance="1"/>
  <TrackedTerm Uid="e4a11abc-8928-4abc-a16b-a6fa386c6953" UniqueName="WFS_Hardware_Products_1/Unit_Price_1" ParentPath="WFS_Hardware_Products_1/" TrackName="Unit_Price" TrackedInstance="1"/>
  <TrackedTerm Uid="bdba4e4d-f282-489c-9d56-f9c2f16aa6f6" UniqueName="Currency_Symbol_2" ParentPath="" TrackName="Currency_Symbol" TrackedInstance="2"/>
  <TrackedTerm Uid="7c41532c-4e3f-4d1c-9c36-231a5c3c0648" UniqueName="WFS_Hardware_Products_1/Extended_Amount_1" ParentPath="WFS_Hardware_Products_1/" TrackName="Extended_Amount" TrackedInstance="1"/>
  <TrackedTerm Uid="2201feb4-c64c-4c86-b305-9979fb08bceb" UniqueName="Support_Plan_1/Support_Description_1" ParentPath="Support_Plan_1/" TrackName="Support_Description" TrackedInstance="1"/>
  <TrackedTerm Uid="45707b48-1e74-4494-9f22-ab9abfe6650f" UniqueName="Support_Plan_1/Support_Quantity_1" ParentPath="Support_Plan_1/" TrackName="Support_Quantity" TrackedInstance="1"/>
  <TrackedTerm Uid="b3246a49-8205-45b5-aae1-68412074bcd1" UniqueName="Currency_Symbol_3" ParentPath="" TrackName="Currency_Symbol" TrackedInstance="3"/>
  <TrackedTerm Uid="f632e7bf-b218-420f-b2b4-02326bab83a8" UniqueName="Support_Plan_1/Support_Unit_Price_1" ParentPath="Support_Plan_1/" TrackName="Support_Unit_Price" TrackedInstance="1"/>
  <TrackedTerm Uid="66013e5c-acb4-4ccb-a9cc-cfda75c86a59" UniqueName="Currency_Symbol_4" ParentPath="" TrackName="Currency_Symbol" TrackedInstance="4"/>
  <TrackedTerm Uid="9721d27e-efec-4df3-af0d-19809d2b1ea3" UniqueName="Support_Plan_1/Support_Extended_Amount_1" ParentPath="Support_Plan_1/" TrackName="Support_Extended_Amount" TrackedInstance="1"/>
  <TrackedTerm Uid="ef308c84-063a-4a72-9a84-d5e2b7766d09" UniqueName="Commencement_Date_1" ParentPath="" TrackName="Commencement_Date" TrackedInstance="1"/>
  <TrackedTerm Uid="03e2e6af-cb12-475a-bfb9-c397dd00c55e" UniqueName="End_Date_1" ParentPath="" TrackName="End_Date" TrackedInstance="1"/>
  <TrackedTerm Uid="d9e932a1-49a6-4758-822f-605dc060586d" UniqueName="Billing_Frequency_1" ParentPath="" TrackName="Billing_Frequency" TrackedInstance="1"/>
  <TrackedTerm Uid="575473ce-f1fe-48aa-bc68-3abe246df06e" UniqueName="Currency_Symbol_5" ParentPath="" TrackName="Currency_Symbol" TrackedInstance="5"/>
  <TrackedTerm Uid="483d178b-fec4-4277-9b28-b9fa114b119e" UniqueName="Year_1_PMT_Field_1" ParentPath="" TrackName="Year_1_PMT_Field" TrackedInstance="1"/>
  <TrackedTerm Uid="a41b169b-586a-4a06-b1dd-7e69488aa73d" UniqueName="Currency_1" ParentPath="" TrackName="Currency" TrackedInstance="1"/>
  <TrackedTerm Uid="29d4f062-705d-45d5-a5e8-0aeabbe8a651" UniqueName="Currency_Symbol_6" ParentPath="" TrackName="Currency_Symbol" TrackedInstance="6"/>
  <TrackedTerm Uid="89945538-a45b-4e75-b87f-a67a99f6a050" UniqueName="Total_Amount_Due_1" ParentPath="" TrackName="Total_Amount_Due" TrackedInstance="1"/>
  <TrackedTerm Uid="4d8583aa-8587-46e7-a794-b5d39a8e07ce" UniqueName="Signature_Entity_Name_1" ParentPath="" TrackName="Signature_Entity_Name" TrackedInstance="1"/>
  <TrackedTerm Uid="26d626f2-11c2-4fa0-844e-2fea30704ec7" UniqueName="Footer_Legal_Entity_1" ParentPath="" TrackName="Footer_Legal_Entity" TrackedInstance="1"/>
  <TrackedTerm Uid="6ce1fe40-b5b1-45ca-8359-3dda2eb93ab0" UniqueName="Footer_Legal_Entity_1" ParentPath="" TrackName="Footer_Legal_Entity" TrackedInstance="1"/>
</TermSync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445681-9C46-49D3-AC33-E4C4AE61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080189-2570-4e22-b38c-19a53bcc236d"/>
    <ds:schemaRef ds:uri="09259bd9-7e0a-41dd-8146-642a48d7f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6C0BC-A6B5-45B1-8B4E-84C481F7ADE1}">
  <ds:schemaRefs/>
</ds:datastoreItem>
</file>

<file path=customXml/itemProps3.xml><?xml version="1.0" encoding="utf-8"?>
<ds:datastoreItem xmlns:ds="http://schemas.openxmlformats.org/officeDocument/2006/customXml" ds:itemID="{10A76D71-DF10-4F74-9A17-98F0E8F266FD}">
  <ds:schemaRefs>
    <ds:schemaRef ds:uri="http://schemas.microsoft.com/sharepoint/v3/contenttype/forms"/>
  </ds:schemaRefs>
</ds:datastoreItem>
</file>

<file path=customXml/itemProps4.xml><?xml version="1.0" encoding="utf-8"?>
<ds:datastoreItem xmlns:ds="http://schemas.openxmlformats.org/officeDocument/2006/customXml" ds:itemID="{4F6052C6-4327-4EB8-B2BF-83B21D18A5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&lt;# &lt;Content Select="//Template_Title" Optional="true"/&gt; #&gt;</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&lt;Content Select="//Template_Title" Optional="true"/&gt; #&gt;</dc:title>
  <dc:creator>Colette Lane</dc:creator>
  <cp:keywords/>
  <cp:lastModifiedBy>Alsalman, Amel (DSHS/FFA)</cp:lastModifiedBy>
  <cp:revision>2</cp:revision>
  <cp:lastPrinted>2016-09-20T18:08:00Z</cp:lastPrinted>
  <dcterms:created xsi:type="dcterms:W3CDTF">2024-04-09T17:53:00Z</dcterms:created>
  <dcterms:modified xsi:type="dcterms:W3CDTF">2024-04-09T17:53:00Z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58;#Branding ＆ Templates|4fe06000-67e2-40e5-821d-bd1e3fa9315a</vt:lpwstr>
  </property>
  <property fmtid="{D5CDD505-2E9C-101B-9397-08002B2CF9AE}" pid="4" name="ContentTypeId">
    <vt:lpwstr>0x01010051768C95CA619D4CA96CD08CCFFEC90A</vt:lpwstr>
  </property>
  <property fmtid="{D5CDD505-2E9C-101B-9397-08002B2CF9AE}" pid="5" name="ResourceType">
    <vt:lpwstr>17;#Template|37e10287-a2c2-4f8e-a373-96c92695f409</vt:lpwstr>
  </property>
  <property fmtid="{D5CDD505-2E9C-101B-9397-08002B2CF9AE}" pid="6" name="Team">
    <vt:lpwstr>1;#Sales and Marketing|f61c90e0-55a8-4762-89c6-46a676220533</vt:lpwstr>
  </property>
  <property fmtid="{D5CDD505-2E9C-101B-9397-08002B2CF9AE}" pid="7" name="TeamType">
    <vt:lpwstr>2;#HUB Public|c766adb3-3f21-4d97-9cd5-8c34c7355576</vt:lpwstr>
  </property>
  <property fmtid="{D5CDD505-2E9C-101B-9397-08002B2CF9AE}" pid="8" name="_dlc_DocIdItemGuid">
    <vt:lpwstr>da238a1b-0938-45bd-aad0-499f97799ea1</vt:lpwstr>
  </property>
  <property fmtid="{D5CDD505-2E9C-101B-9397-08002B2CF9AE}" pid="9" name="WorkflowChangePath">
    <vt:lpwstr>548ea11b-0670-4af6-9a2a-58930277c380,9;548ea11b-0670-4af6-9a2a-58930277c380,11;548ea11b-0670-4af6-9a2a-58930277c380,13;548ea11b-0670-4af6-9a2a-58930277c380,15;548ea11b-0670-4af6-9a2a-58930277c380,17;548ea11b-0670-4af6-9a2a-58930277c380,19;548ea11b-0670-4a</vt:lpwstr>
  </property>
  <property fmtid="{D5CDD505-2E9C-101B-9397-08002B2CF9AE}" pid="10" name="WhoCanView">
    <vt:lpwstr/>
  </property>
  <property fmtid="{D5CDD505-2E9C-101B-9397-08002B2CF9AE}" pid="11" name="CommunityPortalCategory">
    <vt:lpwstr/>
  </property>
  <property fmtid="{D5CDD505-2E9C-101B-9397-08002B2CF9AE}" pid="12" name="CommunityProduct">
    <vt:lpwstr/>
  </property>
  <property fmtid="{D5CDD505-2E9C-101B-9397-08002B2CF9AE}" pid="13" name="oc44ffafe418491bbde73dca340b4dea">
    <vt:lpwstr/>
  </property>
  <property fmtid="{D5CDD505-2E9C-101B-9397-08002B2CF9AE}" pid="14" name="CommunityAudience">
    <vt:lpwstr/>
  </property>
  <property fmtid="{D5CDD505-2E9C-101B-9397-08002B2CF9AE}" pid="15" name="me222dab75954707a3d7fce3aeb65dce">
    <vt:lpwstr/>
  </property>
  <property fmtid="{D5CDD505-2E9C-101B-9397-08002B2CF9AE}" pid="16" name="a5846c0cd3b64d5eb26e39862fc8aedc">
    <vt:lpwstr/>
  </property>
  <property fmtid="{D5CDD505-2E9C-101B-9397-08002B2CF9AE}" pid="17" name="c20d943f7b214816a1ed6a3765a8a5d7">
    <vt:lpwstr/>
  </property>
  <property fmtid="{D5CDD505-2E9C-101B-9397-08002B2CF9AE}" pid="18" name="PartnerEcosystem">
    <vt:lpwstr/>
  </property>
  <property fmtid="{D5CDD505-2E9C-101B-9397-08002B2CF9AE}" pid="19" name="e5c95165b15c498e86c4cc67c79adc68">
    <vt:lpwstr/>
  </property>
</Properties>
</file>