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390"/>
        <w:gridCol w:w="1512"/>
        <w:gridCol w:w="1603"/>
        <w:gridCol w:w="805"/>
        <w:gridCol w:w="3577"/>
      </w:tblGrid>
      <w:tr w:rsidR="001C7FF7" w14:paraId="44A00C0F" w14:textId="77777777" w:rsidTr="00AD2C44">
        <w:trPr>
          <w:trHeight w:val="625"/>
        </w:trPr>
        <w:tc>
          <w:tcPr>
            <w:tcW w:w="4902" w:type="dxa"/>
            <w:gridSpan w:val="2"/>
            <w:vMerge w:val="restart"/>
            <w:tcBorders>
              <w:top w:val="nil"/>
              <w:left w:val="nil"/>
            </w:tcBorders>
            <w:vAlign w:val="center"/>
          </w:tcPr>
          <w:p w14:paraId="0C51A084" w14:textId="77777777" w:rsidR="001C7FF7" w:rsidRDefault="001C7FF7" w:rsidP="00230F11">
            <w:pPr>
              <w:jc w:val="center"/>
              <w:rPr>
                <w:rFonts w:ascii="Arial" w:hAnsi="Arial" w:cs="Arial"/>
                <w:sz w:val="20"/>
                <w:szCs w:val="20"/>
              </w:rPr>
            </w:pPr>
            <w:r>
              <w:rPr>
                <w:rFonts w:ascii="Arial" w:hAnsi="Arial" w:cs="Arial"/>
                <w:noProof/>
                <w:sz w:val="20"/>
                <w:szCs w:val="20"/>
              </w:rPr>
              <w:drawing>
                <wp:inline distT="0" distB="0" distL="0" distR="0" wp14:anchorId="7DB964D7" wp14:editId="4C5E9526">
                  <wp:extent cx="990114" cy="569759"/>
                  <wp:effectExtent l="0" t="0" r="63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5289" cy="578492"/>
                          </a:xfrm>
                          <a:prstGeom prst="rect">
                            <a:avLst/>
                          </a:prstGeom>
                        </pic:spPr>
                      </pic:pic>
                    </a:graphicData>
                  </a:graphic>
                </wp:inline>
              </w:drawing>
            </w:r>
          </w:p>
          <w:p w14:paraId="32879F67" w14:textId="77777777" w:rsidR="001C7FF7" w:rsidRPr="00AC370D" w:rsidRDefault="001C7FF7" w:rsidP="00230F11">
            <w:pPr>
              <w:tabs>
                <w:tab w:val="center" w:pos="3664"/>
              </w:tabs>
              <w:spacing w:before="120"/>
              <w:jc w:val="center"/>
              <w:rPr>
                <w:rFonts w:ascii="Arial" w:hAnsi="Arial" w:cs="Arial"/>
                <w:sz w:val="16"/>
                <w:szCs w:val="16"/>
              </w:rPr>
            </w:pPr>
            <w:r>
              <w:rPr>
                <w:rFonts w:ascii="Arial" w:hAnsi="Arial" w:cs="Arial"/>
                <w:sz w:val="16"/>
                <w:szCs w:val="16"/>
              </w:rPr>
              <w:t>CENTRAL PURCHASING UNIT (CPU)</w:t>
            </w:r>
          </w:p>
          <w:p w14:paraId="17FAF5C8" w14:textId="77777777" w:rsidR="001C7FF7" w:rsidRPr="00E67786" w:rsidRDefault="001C7FF7" w:rsidP="00230F11">
            <w:pPr>
              <w:jc w:val="center"/>
              <w:rPr>
                <w:rFonts w:ascii="Arial" w:hAnsi="Arial" w:cs="Arial"/>
                <w:b/>
                <w:bCs/>
                <w:sz w:val="28"/>
                <w:szCs w:val="28"/>
              </w:rPr>
            </w:pPr>
            <w:r>
              <w:rPr>
                <w:rFonts w:ascii="Arial" w:hAnsi="Arial" w:cs="Arial"/>
                <w:b/>
                <w:bCs/>
                <w:sz w:val="28"/>
                <w:szCs w:val="28"/>
              </w:rPr>
              <w:t>Sole Source Filing Justification</w:t>
            </w:r>
          </w:p>
        </w:tc>
        <w:tc>
          <w:tcPr>
            <w:tcW w:w="5985" w:type="dxa"/>
            <w:gridSpan w:val="3"/>
          </w:tcPr>
          <w:p w14:paraId="11B3B873" w14:textId="77777777" w:rsidR="001C7FF7" w:rsidRPr="00777CE8" w:rsidRDefault="001C7FF7" w:rsidP="00230F11">
            <w:pPr>
              <w:rPr>
                <w:rFonts w:ascii="Arial" w:hAnsi="Arial" w:cs="Arial"/>
                <w:sz w:val="16"/>
                <w:szCs w:val="16"/>
              </w:rPr>
            </w:pPr>
            <w:r>
              <w:rPr>
                <w:rFonts w:ascii="Arial" w:hAnsi="Arial" w:cs="Arial"/>
                <w:sz w:val="16"/>
                <w:szCs w:val="16"/>
              </w:rPr>
              <w:t>PURCHASING COORDINATOR:</w:t>
            </w:r>
          </w:p>
          <w:p w14:paraId="36B7CF7F" w14:textId="1CFC3950" w:rsidR="001C7FF7" w:rsidRDefault="00D35E01" w:rsidP="00230F11">
            <w:pPr>
              <w:rPr>
                <w:rFonts w:ascii="Arial" w:hAnsi="Arial" w:cs="Arial"/>
                <w:sz w:val="20"/>
                <w:szCs w:val="20"/>
              </w:rPr>
            </w:pPr>
            <w:r>
              <w:rPr>
                <w:rFonts w:ascii="Arial" w:hAnsi="Arial" w:cs="Arial"/>
                <w:sz w:val="20"/>
                <w:szCs w:val="20"/>
              </w:rPr>
              <w:t>Tim Scott</w:t>
            </w:r>
          </w:p>
        </w:tc>
      </w:tr>
      <w:tr w:rsidR="001C7FF7" w14:paraId="57BCE247" w14:textId="77777777" w:rsidTr="00AD2C44">
        <w:trPr>
          <w:trHeight w:val="625"/>
        </w:trPr>
        <w:tc>
          <w:tcPr>
            <w:tcW w:w="4902" w:type="dxa"/>
            <w:gridSpan w:val="2"/>
            <w:vMerge/>
            <w:tcBorders>
              <w:left w:val="nil"/>
            </w:tcBorders>
          </w:tcPr>
          <w:p w14:paraId="4AFB7BE2" w14:textId="77777777" w:rsidR="001C7FF7" w:rsidRDefault="001C7FF7" w:rsidP="00230F11">
            <w:pPr>
              <w:rPr>
                <w:rFonts w:ascii="Arial" w:hAnsi="Arial" w:cs="Arial"/>
                <w:sz w:val="20"/>
                <w:szCs w:val="20"/>
              </w:rPr>
            </w:pPr>
          </w:p>
        </w:tc>
        <w:tc>
          <w:tcPr>
            <w:tcW w:w="2408" w:type="dxa"/>
            <w:gridSpan w:val="2"/>
          </w:tcPr>
          <w:p w14:paraId="2CCC5E2D" w14:textId="77777777" w:rsidR="001C7FF7" w:rsidRPr="00777CE8" w:rsidRDefault="001C7FF7" w:rsidP="00230F11">
            <w:pPr>
              <w:rPr>
                <w:rFonts w:ascii="Arial" w:hAnsi="Arial" w:cs="Arial"/>
                <w:sz w:val="16"/>
                <w:szCs w:val="16"/>
              </w:rPr>
            </w:pPr>
            <w:r>
              <w:rPr>
                <w:rFonts w:ascii="Arial" w:hAnsi="Arial" w:cs="Arial"/>
                <w:sz w:val="16"/>
                <w:szCs w:val="16"/>
              </w:rPr>
              <w:t>PR</w:t>
            </w:r>
            <w:r w:rsidRPr="00777CE8">
              <w:rPr>
                <w:rFonts w:ascii="Arial" w:hAnsi="Arial" w:cs="Arial"/>
                <w:sz w:val="16"/>
                <w:szCs w:val="16"/>
              </w:rPr>
              <w:t xml:space="preserve"> NUMBER</w:t>
            </w:r>
          </w:p>
          <w:p w14:paraId="3745AC5B" w14:textId="68469D27" w:rsidR="001C7FF7" w:rsidRDefault="00D35E01" w:rsidP="00230F11">
            <w:pPr>
              <w:rPr>
                <w:rFonts w:ascii="Arial" w:hAnsi="Arial" w:cs="Arial"/>
                <w:sz w:val="20"/>
                <w:szCs w:val="20"/>
              </w:rPr>
            </w:pPr>
            <w:r>
              <w:rPr>
                <w:rFonts w:ascii="Arial" w:hAnsi="Arial" w:cs="Arial"/>
                <w:sz w:val="20"/>
                <w:szCs w:val="20"/>
              </w:rPr>
              <w:t>PR2524465</w:t>
            </w:r>
          </w:p>
        </w:tc>
        <w:tc>
          <w:tcPr>
            <w:tcW w:w="3577" w:type="dxa"/>
          </w:tcPr>
          <w:p w14:paraId="06F1E7E5" w14:textId="77777777" w:rsidR="001C7FF7" w:rsidRPr="00777CE8" w:rsidRDefault="001C7FF7" w:rsidP="00230F11">
            <w:pPr>
              <w:rPr>
                <w:rFonts w:ascii="Arial" w:hAnsi="Arial" w:cs="Arial"/>
                <w:sz w:val="16"/>
                <w:szCs w:val="16"/>
              </w:rPr>
            </w:pPr>
            <w:r w:rsidRPr="00777CE8">
              <w:rPr>
                <w:rFonts w:ascii="Arial" w:hAnsi="Arial" w:cs="Arial"/>
                <w:sz w:val="16"/>
                <w:szCs w:val="16"/>
              </w:rPr>
              <w:t>TODAY’S DATE</w:t>
            </w:r>
          </w:p>
          <w:p w14:paraId="0959DE96" w14:textId="75AB8897" w:rsidR="001C7FF7" w:rsidRDefault="001C7FF7" w:rsidP="00230F11">
            <w:pPr>
              <w:rPr>
                <w:rFonts w:ascii="Arial" w:hAnsi="Arial" w:cs="Arial"/>
                <w:sz w:val="20"/>
                <w:szCs w:val="20"/>
              </w:rPr>
            </w:pPr>
          </w:p>
        </w:tc>
      </w:tr>
      <w:tr w:rsidR="001C7FF7" w14:paraId="67C6D3A5" w14:textId="77777777" w:rsidTr="00AD2C44">
        <w:trPr>
          <w:trHeight w:val="625"/>
        </w:trPr>
        <w:tc>
          <w:tcPr>
            <w:tcW w:w="4902" w:type="dxa"/>
            <w:gridSpan w:val="2"/>
            <w:vMerge/>
            <w:tcBorders>
              <w:left w:val="nil"/>
            </w:tcBorders>
          </w:tcPr>
          <w:p w14:paraId="0441AA11" w14:textId="77777777" w:rsidR="001C7FF7" w:rsidRDefault="001C7FF7" w:rsidP="00230F11">
            <w:pPr>
              <w:rPr>
                <w:rFonts w:ascii="Arial" w:hAnsi="Arial" w:cs="Arial"/>
                <w:sz w:val="20"/>
                <w:szCs w:val="20"/>
              </w:rPr>
            </w:pPr>
          </w:p>
        </w:tc>
        <w:tc>
          <w:tcPr>
            <w:tcW w:w="5985" w:type="dxa"/>
            <w:gridSpan w:val="3"/>
          </w:tcPr>
          <w:p w14:paraId="662613B5" w14:textId="6480E008" w:rsidR="001C7FF7" w:rsidRPr="00777CE8" w:rsidRDefault="001C7FF7" w:rsidP="00230F11">
            <w:pPr>
              <w:rPr>
                <w:rFonts w:ascii="Arial" w:hAnsi="Arial" w:cs="Arial"/>
                <w:sz w:val="16"/>
                <w:szCs w:val="16"/>
              </w:rPr>
            </w:pPr>
            <w:r w:rsidRPr="00777CE8">
              <w:rPr>
                <w:rFonts w:ascii="Arial" w:hAnsi="Arial" w:cs="Arial"/>
                <w:sz w:val="16"/>
                <w:szCs w:val="16"/>
              </w:rPr>
              <w:t xml:space="preserve">SELECT </w:t>
            </w:r>
            <w:r w:rsidR="003A13AB">
              <w:rPr>
                <w:rFonts w:ascii="Arial" w:hAnsi="Arial" w:cs="Arial"/>
                <w:sz w:val="16"/>
                <w:szCs w:val="16"/>
              </w:rPr>
              <w:t>SERVICE/PRODUCT</w:t>
            </w:r>
            <w:r w:rsidRPr="00777CE8">
              <w:rPr>
                <w:rFonts w:ascii="Arial" w:hAnsi="Arial" w:cs="Arial"/>
                <w:sz w:val="16"/>
                <w:szCs w:val="16"/>
              </w:rPr>
              <w:t xml:space="preserve"> DESCRIPTION / SUB-OBJECT CODE</w:t>
            </w:r>
          </w:p>
          <w:p w14:paraId="5DCEF62C" w14:textId="514BD846" w:rsidR="001C7FF7" w:rsidRDefault="00D35E01" w:rsidP="00230F11">
            <w:pPr>
              <w:rPr>
                <w:rFonts w:ascii="Arial" w:hAnsi="Arial" w:cs="Arial"/>
                <w:sz w:val="20"/>
                <w:szCs w:val="20"/>
              </w:rPr>
            </w:pPr>
            <w:r>
              <w:rPr>
                <w:rFonts w:ascii="Times New Roman" w:hAnsi="Times New Roman" w:cs="Times New Roman"/>
                <w:b/>
                <w:bCs/>
                <w:sz w:val="24"/>
                <w:szCs w:val="24"/>
              </w:rPr>
              <w:t>EJ</w:t>
            </w:r>
          </w:p>
        </w:tc>
      </w:tr>
      <w:tr w:rsidR="001C7FF7" w14:paraId="3DD098F7" w14:textId="77777777" w:rsidTr="00AD2C44">
        <w:trPr>
          <w:trHeight w:val="317"/>
        </w:trPr>
        <w:tc>
          <w:tcPr>
            <w:tcW w:w="10887" w:type="dxa"/>
            <w:gridSpan w:val="5"/>
            <w:shd w:val="clear" w:color="auto" w:fill="C1E4F5" w:themeFill="accent1" w:themeFillTint="33"/>
            <w:vAlign w:val="center"/>
          </w:tcPr>
          <w:p w14:paraId="51B23CBA" w14:textId="77777777" w:rsidR="001C7FF7" w:rsidRPr="00EE14A4" w:rsidRDefault="001C7FF7" w:rsidP="00230F11">
            <w:pPr>
              <w:rPr>
                <w:rFonts w:ascii="Arial" w:hAnsi="Arial" w:cs="Arial"/>
                <w:b/>
                <w:bCs/>
                <w:sz w:val="20"/>
                <w:szCs w:val="20"/>
              </w:rPr>
            </w:pPr>
            <w:r>
              <w:rPr>
                <w:rFonts w:ascii="Arial" w:hAnsi="Arial" w:cs="Arial"/>
                <w:b/>
                <w:bCs/>
                <w:sz w:val="20"/>
                <w:szCs w:val="20"/>
              </w:rPr>
              <w:t>Vendor Information</w:t>
            </w:r>
          </w:p>
        </w:tc>
      </w:tr>
      <w:tr w:rsidR="001C7FF7" w14:paraId="6000C9CB" w14:textId="77777777" w:rsidTr="00AD2C44">
        <w:trPr>
          <w:trHeight w:val="576"/>
        </w:trPr>
        <w:tc>
          <w:tcPr>
            <w:tcW w:w="6505" w:type="dxa"/>
            <w:gridSpan w:val="3"/>
          </w:tcPr>
          <w:p w14:paraId="06891D11" w14:textId="77777777" w:rsidR="001C7FF7" w:rsidRPr="00777CE8" w:rsidRDefault="001C7FF7" w:rsidP="00230F11">
            <w:pPr>
              <w:rPr>
                <w:rFonts w:ascii="Arial" w:hAnsi="Arial" w:cs="Arial"/>
                <w:sz w:val="16"/>
                <w:szCs w:val="16"/>
              </w:rPr>
            </w:pPr>
            <w:r>
              <w:rPr>
                <w:rFonts w:ascii="Arial" w:hAnsi="Arial" w:cs="Arial"/>
                <w:sz w:val="16"/>
                <w:szCs w:val="16"/>
              </w:rPr>
              <w:t>VENDOR</w:t>
            </w:r>
            <w:r w:rsidRPr="00777CE8">
              <w:rPr>
                <w:rFonts w:ascii="Arial" w:hAnsi="Arial" w:cs="Arial"/>
                <w:sz w:val="16"/>
                <w:szCs w:val="16"/>
              </w:rPr>
              <w:t>’S LEGAL NAME</w:t>
            </w:r>
          </w:p>
          <w:p w14:paraId="552CC6C7" w14:textId="2F75717D" w:rsidR="001C7FF7" w:rsidRDefault="00BF0D76" w:rsidP="00230F11">
            <w:pPr>
              <w:rPr>
                <w:rFonts w:ascii="Arial" w:hAnsi="Arial" w:cs="Arial"/>
                <w:sz w:val="20"/>
                <w:szCs w:val="20"/>
              </w:rPr>
            </w:pPr>
            <w:r>
              <w:rPr>
                <w:rFonts w:ascii="Times New Roman" w:hAnsi="Times New Roman" w:cs="Times New Roman"/>
                <w:b/>
                <w:bCs/>
                <w:sz w:val="24"/>
                <w:szCs w:val="24"/>
              </w:rPr>
              <w:t>UpToDate, Inc.</w:t>
            </w:r>
            <w:r w:rsidR="004239CC">
              <w:rPr>
                <w:rFonts w:ascii="Times New Roman" w:hAnsi="Times New Roman" w:cs="Times New Roman"/>
                <w:b/>
                <w:bCs/>
                <w:sz w:val="24"/>
                <w:szCs w:val="24"/>
              </w:rPr>
              <w:t xml:space="preserve"> (</w:t>
            </w:r>
            <w:r w:rsidR="00DD3CD7">
              <w:rPr>
                <w:rFonts w:ascii="Times New Roman" w:hAnsi="Times New Roman" w:cs="Times New Roman"/>
                <w:b/>
                <w:bCs/>
                <w:sz w:val="24"/>
                <w:szCs w:val="24"/>
              </w:rPr>
              <w:t>UpToDate</w:t>
            </w:r>
            <w:r w:rsidR="004239CC">
              <w:rPr>
                <w:rFonts w:ascii="Times New Roman" w:hAnsi="Times New Roman" w:cs="Times New Roman"/>
                <w:b/>
                <w:bCs/>
                <w:sz w:val="24"/>
                <w:szCs w:val="24"/>
              </w:rPr>
              <w:t>)</w:t>
            </w:r>
          </w:p>
        </w:tc>
        <w:tc>
          <w:tcPr>
            <w:tcW w:w="4382" w:type="dxa"/>
            <w:gridSpan w:val="2"/>
          </w:tcPr>
          <w:p w14:paraId="31D2A393" w14:textId="77777777" w:rsidR="001C7FF7" w:rsidRPr="00777CE8" w:rsidRDefault="001C7FF7" w:rsidP="00230F11">
            <w:pPr>
              <w:rPr>
                <w:rFonts w:ascii="Arial" w:hAnsi="Arial" w:cs="Arial"/>
                <w:sz w:val="16"/>
                <w:szCs w:val="16"/>
              </w:rPr>
            </w:pPr>
            <w:r w:rsidRPr="00777CE8">
              <w:rPr>
                <w:rFonts w:ascii="Arial" w:hAnsi="Arial" w:cs="Arial"/>
                <w:sz w:val="16"/>
                <w:szCs w:val="16"/>
              </w:rPr>
              <w:t>TAX IDENTIFICATION (TIN) OR UNIFORM BUSINESS IDENTIFICATION (UBI) NUMBER</w:t>
            </w:r>
          </w:p>
          <w:p w14:paraId="78DA0BBA" w14:textId="0F6FCAEA" w:rsidR="001C7FF7" w:rsidRDefault="00BF0D76" w:rsidP="00230F11">
            <w:pPr>
              <w:spacing w:after="40"/>
              <w:rPr>
                <w:rFonts w:ascii="Arial" w:hAnsi="Arial" w:cs="Arial"/>
                <w:sz w:val="20"/>
                <w:szCs w:val="20"/>
              </w:rPr>
            </w:pPr>
            <w:r>
              <w:rPr>
                <w:rFonts w:ascii="Times New Roman" w:hAnsi="Times New Roman" w:cs="Times New Roman"/>
                <w:b/>
                <w:bCs/>
                <w:sz w:val="24"/>
                <w:szCs w:val="24"/>
              </w:rPr>
              <w:t>043310941</w:t>
            </w:r>
          </w:p>
        </w:tc>
      </w:tr>
      <w:tr w:rsidR="001C7FF7" w14:paraId="1C3CF696" w14:textId="77777777" w:rsidTr="00AD2C44">
        <w:trPr>
          <w:trHeight w:val="661"/>
        </w:trPr>
        <w:tc>
          <w:tcPr>
            <w:tcW w:w="10887" w:type="dxa"/>
            <w:gridSpan w:val="5"/>
          </w:tcPr>
          <w:p w14:paraId="194A47E4" w14:textId="77777777" w:rsidR="001C7FF7" w:rsidRPr="00777CE8" w:rsidRDefault="001C7FF7" w:rsidP="00230F11">
            <w:pPr>
              <w:rPr>
                <w:rFonts w:ascii="Arial" w:hAnsi="Arial" w:cs="Arial"/>
                <w:sz w:val="16"/>
                <w:szCs w:val="16"/>
              </w:rPr>
            </w:pPr>
            <w:r w:rsidRPr="00777CE8">
              <w:rPr>
                <w:rFonts w:ascii="Arial" w:hAnsi="Arial" w:cs="Arial"/>
                <w:sz w:val="16"/>
                <w:szCs w:val="16"/>
              </w:rPr>
              <w:t>ADDRESS</w:t>
            </w:r>
          </w:p>
          <w:p w14:paraId="51B4B2D2" w14:textId="3CD55EE1" w:rsidR="001C7FF7" w:rsidRDefault="00BF0D76" w:rsidP="00230F11">
            <w:pPr>
              <w:rPr>
                <w:rFonts w:ascii="Arial" w:hAnsi="Arial" w:cs="Arial"/>
                <w:sz w:val="20"/>
                <w:szCs w:val="20"/>
              </w:rPr>
            </w:pPr>
            <w:r>
              <w:rPr>
                <w:rFonts w:ascii="Times New Roman" w:hAnsi="Times New Roman" w:cs="Times New Roman"/>
                <w:b/>
                <w:bCs/>
                <w:sz w:val="24"/>
                <w:szCs w:val="24"/>
              </w:rPr>
              <w:t xml:space="preserve">230 Third Avenue, </w:t>
            </w:r>
            <w:r w:rsidR="00853BE9">
              <w:rPr>
                <w:rFonts w:ascii="Times New Roman" w:hAnsi="Times New Roman" w:cs="Times New Roman"/>
                <w:b/>
                <w:bCs/>
                <w:sz w:val="24"/>
                <w:szCs w:val="24"/>
              </w:rPr>
              <w:t xml:space="preserve">Suite 1000 </w:t>
            </w:r>
            <w:r>
              <w:rPr>
                <w:rFonts w:ascii="Times New Roman" w:hAnsi="Times New Roman" w:cs="Times New Roman"/>
                <w:b/>
                <w:bCs/>
                <w:sz w:val="24"/>
                <w:szCs w:val="24"/>
              </w:rPr>
              <w:t>Waltham, MA 02451</w:t>
            </w:r>
          </w:p>
        </w:tc>
      </w:tr>
      <w:tr w:rsidR="001C7FF7" w14:paraId="691F43DF" w14:textId="77777777" w:rsidTr="00AD2C44">
        <w:trPr>
          <w:trHeight w:val="317"/>
        </w:trPr>
        <w:tc>
          <w:tcPr>
            <w:tcW w:w="10887" w:type="dxa"/>
            <w:gridSpan w:val="5"/>
            <w:shd w:val="clear" w:color="auto" w:fill="C1E4F5" w:themeFill="accent1" w:themeFillTint="33"/>
            <w:vAlign w:val="center"/>
          </w:tcPr>
          <w:p w14:paraId="69CC993A" w14:textId="77777777" w:rsidR="001C7FF7" w:rsidRPr="00EE14A4" w:rsidRDefault="001C7FF7" w:rsidP="00230F11">
            <w:pPr>
              <w:rPr>
                <w:rFonts w:ascii="Arial" w:hAnsi="Arial" w:cs="Arial"/>
                <w:b/>
                <w:bCs/>
                <w:sz w:val="20"/>
                <w:szCs w:val="20"/>
              </w:rPr>
            </w:pPr>
            <w:r>
              <w:rPr>
                <w:rFonts w:ascii="Arial" w:hAnsi="Arial" w:cs="Arial"/>
                <w:b/>
                <w:bCs/>
                <w:sz w:val="20"/>
                <w:szCs w:val="20"/>
              </w:rPr>
              <w:t>Purpose of Purchase</w:t>
            </w:r>
          </w:p>
        </w:tc>
      </w:tr>
      <w:tr w:rsidR="001C7FF7" w14:paraId="79B12B55" w14:textId="77777777" w:rsidTr="00AD2C44">
        <w:trPr>
          <w:trHeight w:val="1291"/>
        </w:trPr>
        <w:tc>
          <w:tcPr>
            <w:tcW w:w="10887" w:type="dxa"/>
            <w:gridSpan w:val="5"/>
          </w:tcPr>
          <w:p w14:paraId="6F7BC13D" w14:textId="478F8DCB" w:rsidR="001C7FF7" w:rsidRPr="00AD2C44" w:rsidRDefault="00C43604" w:rsidP="00230F11">
            <w:pPr>
              <w:spacing w:before="60" w:after="60"/>
              <w:rPr>
                <w:rFonts w:ascii="Arial" w:hAnsi="Arial" w:cs="Arial"/>
                <w:b/>
                <w:bCs/>
                <w:sz w:val="20"/>
                <w:szCs w:val="20"/>
              </w:rPr>
            </w:pPr>
            <w:r>
              <w:rPr>
                <w:rFonts w:ascii="Arial" w:hAnsi="Arial" w:cs="Arial"/>
                <w:b/>
                <w:bCs/>
                <w:sz w:val="20"/>
                <w:szCs w:val="20"/>
              </w:rPr>
              <w:t xml:space="preserve">To extend annual subscription term for </w:t>
            </w:r>
            <w:r w:rsidR="004239CC" w:rsidRPr="00AD2C44">
              <w:rPr>
                <w:rFonts w:ascii="Arial" w:hAnsi="Arial" w:cs="Arial"/>
                <w:b/>
                <w:bCs/>
                <w:sz w:val="20"/>
                <w:szCs w:val="20"/>
              </w:rPr>
              <w:t>UpToDate</w:t>
            </w:r>
            <w:r>
              <w:rPr>
                <w:rFonts w:ascii="Arial" w:hAnsi="Arial" w:cs="Arial"/>
                <w:b/>
                <w:bCs/>
                <w:i/>
                <w:iCs/>
                <w:sz w:val="20"/>
                <w:szCs w:val="20"/>
              </w:rPr>
              <w:t>,</w:t>
            </w:r>
            <w:r w:rsidR="00094AA3" w:rsidRPr="00AD2C44">
              <w:rPr>
                <w:rFonts w:ascii="Arial" w:hAnsi="Arial" w:cs="Arial"/>
                <w:b/>
                <w:bCs/>
                <w:sz w:val="20"/>
                <w:szCs w:val="20"/>
              </w:rPr>
              <w:t xml:space="preserve"> an evidence-based </w:t>
            </w:r>
            <w:r>
              <w:rPr>
                <w:rFonts w:ascii="Arial" w:hAnsi="Arial" w:cs="Arial"/>
                <w:b/>
                <w:bCs/>
                <w:sz w:val="20"/>
                <w:szCs w:val="20"/>
              </w:rPr>
              <w:t xml:space="preserve">on-line </w:t>
            </w:r>
            <w:r w:rsidR="00094AA3" w:rsidRPr="00AD2C44">
              <w:rPr>
                <w:rFonts w:ascii="Arial" w:hAnsi="Arial" w:cs="Arial"/>
                <w:b/>
                <w:bCs/>
                <w:sz w:val="20"/>
                <w:szCs w:val="20"/>
              </w:rPr>
              <w:t xml:space="preserve">clinical decision support resource </w:t>
            </w:r>
            <w:r>
              <w:rPr>
                <w:rFonts w:ascii="Arial" w:hAnsi="Arial" w:cs="Arial"/>
                <w:b/>
                <w:bCs/>
                <w:sz w:val="20"/>
                <w:szCs w:val="20"/>
              </w:rPr>
              <w:t xml:space="preserve">library </w:t>
            </w:r>
            <w:r w:rsidR="00094AA3" w:rsidRPr="00AD2C44">
              <w:rPr>
                <w:rFonts w:ascii="Arial" w:hAnsi="Arial" w:cs="Arial"/>
                <w:b/>
                <w:bCs/>
                <w:sz w:val="20"/>
                <w:szCs w:val="20"/>
              </w:rPr>
              <w:t>that offers comprehensive, peer-reviewed content</w:t>
            </w:r>
            <w:r>
              <w:rPr>
                <w:rFonts w:ascii="Arial" w:hAnsi="Arial" w:cs="Arial"/>
                <w:b/>
                <w:bCs/>
                <w:sz w:val="20"/>
                <w:szCs w:val="20"/>
              </w:rPr>
              <w:t xml:space="preserve"> </w:t>
            </w:r>
            <w:r w:rsidR="00987262">
              <w:rPr>
                <w:rFonts w:ascii="Arial" w:hAnsi="Arial" w:cs="Arial"/>
                <w:b/>
                <w:bCs/>
                <w:sz w:val="20"/>
                <w:szCs w:val="20"/>
              </w:rPr>
              <w:t xml:space="preserve">already </w:t>
            </w:r>
            <w:r>
              <w:rPr>
                <w:rFonts w:ascii="Arial" w:hAnsi="Arial" w:cs="Arial"/>
                <w:b/>
                <w:bCs/>
                <w:sz w:val="20"/>
                <w:szCs w:val="20"/>
              </w:rPr>
              <w:t xml:space="preserve">approved by DSHS Department of Technology (DIT) </w:t>
            </w:r>
            <w:r w:rsidR="009416A8">
              <w:rPr>
                <w:rFonts w:ascii="Arial" w:hAnsi="Arial" w:cs="Arial"/>
                <w:b/>
                <w:bCs/>
                <w:sz w:val="20"/>
                <w:szCs w:val="20"/>
              </w:rPr>
              <w:t xml:space="preserve">as an enterprise solution and is </w:t>
            </w:r>
            <w:r>
              <w:rPr>
                <w:rFonts w:ascii="Arial" w:hAnsi="Arial" w:cs="Arial"/>
                <w:b/>
                <w:bCs/>
                <w:sz w:val="20"/>
                <w:szCs w:val="20"/>
              </w:rPr>
              <w:t xml:space="preserve">currently </w:t>
            </w:r>
            <w:r w:rsidR="009416A8">
              <w:rPr>
                <w:rFonts w:ascii="Arial" w:hAnsi="Arial" w:cs="Arial"/>
                <w:b/>
                <w:bCs/>
                <w:sz w:val="20"/>
                <w:szCs w:val="20"/>
              </w:rPr>
              <w:t xml:space="preserve">in </w:t>
            </w:r>
            <w:r>
              <w:rPr>
                <w:rFonts w:ascii="Arial" w:hAnsi="Arial" w:cs="Arial"/>
                <w:b/>
                <w:bCs/>
                <w:sz w:val="20"/>
                <w:szCs w:val="20"/>
              </w:rPr>
              <w:t xml:space="preserve">use </w:t>
            </w:r>
            <w:r w:rsidR="009416A8">
              <w:rPr>
                <w:rFonts w:ascii="Arial" w:hAnsi="Arial" w:cs="Arial"/>
                <w:b/>
                <w:bCs/>
                <w:sz w:val="20"/>
                <w:szCs w:val="20"/>
              </w:rPr>
              <w:t xml:space="preserve">at </w:t>
            </w:r>
            <w:r>
              <w:rPr>
                <w:rFonts w:ascii="Arial" w:hAnsi="Arial" w:cs="Arial"/>
                <w:b/>
                <w:bCs/>
                <w:sz w:val="20"/>
                <w:szCs w:val="20"/>
              </w:rPr>
              <w:t>BHHA facilities</w:t>
            </w:r>
            <w:r w:rsidR="004239CC" w:rsidRPr="00AD2C44">
              <w:rPr>
                <w:rFonts w:ascii="Arial" w:hAnsi="Arial" w:cs="Arial"/>
                <w:b/>
                <w:bCs/>
                <w:sz w:val="20"/>
                <w:szCs w:val="20"/>
              </w:rPr>
              <w:t xml:space="preserve">.  </w:t>
            </w:r>
          </w:p>
        </w:tc>
      </w:tr>
      <w:tr w:rsidR="001C7FF7" w14:paraId="2FCACBFC" w14:textId="77777777" w:rsidTr="00AD2C44">
        <w:trPr>
          <w:trHeight w:val="317"/>
        </w:trPr>
        <w:tc>
          <w:tcPr>
            <w:tcW w:w="10887" w:type="dxa"/>
            <w:gridSpan w:val="5"/>
            <w:shd w:val="clear" w:color="auto" w:fill="C1E4F5" w:themeFill="accent1" w:themeFillTint="33"/>
            <w:vAlign w:val="center"/>
          </w:tcPr>
          <w:p w14:paraId="1CD8448E" w14:textId="77777777" w:rsidR="001C7FF7" w:rsidRPr="00EE14A4" w:rsidRDefault="001C7FF7" w:rsidP="00230F11">
            <w:pPr>
              <w:rPr>
                <w:rFonts w:ascii="Arial" w:hAnsi="Arial" w:cs="Arial"/>
                <w:b/>
                <w:bCs/>
                <w:sz w:val="20"/>
                <w:szCs w:val="20"/>
              </w:rPr>
            </w:pPr>
            <w:r>
              <w:rPr>
                <w:rFonts w:ascii="Arial" w:hAnsi="Arial" w:cs="Arial"/>
                <w:b/>
                <w:bCs/>
                <w:sz w:val="20"/>
                <w:szCs w:val="20"/>
              </w:rPr>
              <w:t>Funding Source(s)</w:t>
            </w:r>
          </w:p>
        </w:tc>
      </w:tr>
      <w:tr w:rsidR="001C7FF7" w14:paraId="1739360A" w14:textId="77777777" w:rsidTr="00AD2C44">
        <w:trPr>
          <w:trHeight w:val="661"/>
        </w:trPr>
        <w:tc>
          <w:tcPr>
            <w:tcW w:w="3390" w:type="dxa"/>
          </w:tcPr>
          <w:p w14:paraId="12005891" w14:textId="77777777" w:rsidR="001C7FF7" w:rsidRPr="00777CE8" w:rsidRDefault="001C7FF7" w:rsidP="00230F11">
            <w:pPr>
              <w:rPr>
                <w:rFonts w:ascii="Arial" w:hAnsi="Arial" w:cs="Arial"/>
                <w:sz w:val="16"/>
                <w:szCs w:val="16"/>
              </w:rPr>
            </w:pPr>
            <w:r w:rsidRPr="00777CE8">
              <w:rPr>
                <w:rFonts w:ascii="Arial" w:hAnsi="Arial" w:cs="Arial"/>
                <w:sz w:val="16"/>
                <w:szCs w:val="16"/>
              </w:rPr>
              <w:t>FEDERAL FUNDING</w:t>
            </w:r>
          </w:p>
          <w:p w14:paraId="32527A3C" w14:textId="30EBD742" w:rsidR="001C7FF7" w:rsidRDefault="001C7FF7" w:rsidP="00230F11">
            <w:pPr>
              <w:rPr>
                <w:rFonts w:ascii="Arial" w:hAnsi="Arial" w:cs="Arial"/>
                <w:sz w:val="20"/>
                <w:szCs w:val="20"/>
              </w:rPr>
            </w:pPr>
            <w:r>
              <w:rPr>
                <w:rFonts w:ascii="Times New Roman" w:hAnsi="Times New Roman" w:cs="Times New Roman"/>
                <w:b/>
                <w:bCs/>
                <w:sz w:val="24"/>
                <w:szCs w:val="24"/>
              </w:rPr>
              <w:t>$</w:t>
            </w:r>
            <w:r w:rsidR="00BF0D76">
              <w:rPr>
                <w:rFonts w:ascii="Times New Roman" w:hAnsi="Times New Roman" w:cs="Times New Roman"/>
                <w:b/>
                <w:bCs/>
                <w:sz w:val="24"/>
                <w:szCs w:val="24"/>
              </w:rPr>
              <w:t>0</w:t>
            </w:r>
          </w:p>
        </w:tc>
        <w:tc>
          <w:tcPr>
            <w:tcW w:w="3115" w:type="dxa"/>
            <w:gridSpan w:val="2"/>
          </w:tcPr>
          <w:p w14:paraId="2128152F" w14:textId="77777777" w:rsidR="001C7FF7" w:rsidRPr="00777CE8" w:rsidRDefault="001C7FF7" w:rsidP="00230F11">
            <w:pPr>
              <w:rPr>
                <w:rFonts w:ascii="Arial" w:hAnsi="Arial" w:cs="Arial"/>
                <w:sz w:val="16"/>
                <w:szCs w:val="16"/>
              </w:rPr>
            </w:pPr>
            <w:r w:rsidRPr="00777CE8">
              <w:rPr>
                <w:rFonts w:ascii="Arial" w:hAnsi="Arial" w:cs="Arial"/>
                <w:sz w:val="16"/>
                <w:szCs w:val="16"/>
              </w:rPr>
              <w:t>STATE FUNDING</w:t>
            </w:r>
          </w:p>
          <w:p w14:paraId="19C16732" w14:textId="597FDDB5" w:rsidR="001C7FF7" w:rsidRPr="00C43604" w:rsidRDefault="001C7FF7" w:rsidP="00230F11">
            <w:pPr>
              <w:rPr>
                <w:rFonts w:ascii="Times New Roman" w:hAnsi="Times New Roman" w:cs="Times New Roman"/>
                <w:b/>
                <w:bCs/>
                <w:sz w:val="24"/>
                <w:szCs w:val="24"/>
              </w:rPr>
            </w:pPr>
            <w:r>
              <w:rPr>
                <w:rFonts w:ascii="Times New Roman" w:hAnsi="Times New Roman" w:cs="Times New Roman"/>
                <w:b/>
                <w:bCs/>
                <w:sz w:val="24"/>
                <w:szCs w:val="24"/>
              </w:rPr>
              <w:t>$</w:t>
            </w:r>
            <w:r w:rsidR="00C43604">
              <w:rPr>
                <w:rFonts w:ascii="Times New Roman" w:hAnsi="Times New Roman" w:cs="Times New Roman"/>
                <w:b/>
                <w:bCs/>
                <w:sz w:val="24"/>
                <w:szCs w:val="24"/>
              </w:rPr>
              <w:t>142,390</w:t>
            </w:r>
          </w:p>
        </w:tc>
        <w:tc>
          <w:tcPr>
            <w:tcW w:w="4382" w:type="dxa"/>
            <w:gridSpan w:val="2"/>
          </w:tcPr>
          <w:p w14:paraId="2BA0A8B4" w14:textId="77777777" w:rsidR="001C7FF7" w:rsidRPr="00777CE8" w:rsidRDefault="001C7FF7" w:rsidP="00230F11">
            <w:pPr>
              <w:rPr>
                <w:rFonts w:ascii="Arial" w:hAnsi="Arial" w:cs="Arial"/>
                <w:sz w:val="16"/>
                <w:szCs w:val="16"/>
              </w:rPr>
            </w:pPr>
            <w:r w:rsidRPr="00777CE8">
              <w:rPr>
                <w:rFonts w:ascii="Arial" w:hAnsi="Arial" w:cs="Arial"/>
                <w:sz w:val="16"/>
                <w:szCs w:val="16"/>
              </w:rPr>
              <w:t>CONTRACT TOTAL</w:t>
            </w:r>
          </w:p>
          <w:p w14:paraId="4D74DC6E" w14:textId="79F5474E" w:rsidR="001C7FF7" w:rsidRPr="00C43604" w:rsidRDefault="001C7FF7" w:rsidP="00230F11">
            <w:pPr>
              <w:rPr>
                <w:rFonts w:ascii="Times New Roman" w:hAnsi="Times New Roman" w:cs="Times New Roman"/>
                <w:b/>
                <w:bCs/>
                <w:sz w:val="24"/>
                <w:szCs w:val="24"/>
              </w:rPr>
            </w:pPr>
            <w:r>
              <w:rPr>
                <w:rFonts w:ascii="Times New Roman" w:hAnsi="Times New Roman" w:cs="Times New Roman"/>
                <w:b/>
                <w:bCs/>
                <w:sz w:val="24"/>
                <w:szCs w:val="24"/>
              </w:rPr>
              <w:t>$</w:t>
            </w:r>
            <w:r w:rsidR="00C43604">
              <w:rPr>
                <w:rFonts w:ascii="Times New Roman" w:hAnsi="Times New Roman" w:cs="Times New Roman"/>
                <w:b/>
                <w:bCs/>
                <w:sz w:val="24"/>
                <w:szCs w:val="24"/>
              </w:rPr>
              <w:t>142,390</w:t>
            </w:r>
          </w:p>
        </w:tc>
      </w:tr>
      <w:tr w:rsidR="001C7FF7" w14:paraId="4F219EFF" w14:textId="77777777" w:rsidTr="00AD2C44">
        <w:trPr>
          <w:trHeight w:val="317"/>
        </w:trPr>
        <w:tc>
          <w:tcPr>
            <w:tcW w:w="10887" w:type="dxa"/>
            <w:gridSpan w:val="5"/>
            <w:shd w:val="clear" w:color="auto" w:fill="C1E4F5" w:themeFill="accent1" w:themeFillTint="33"/>
            <w:vAlign w:val="center"/>
          </w:tcPr>
          <w:p w14:paraId="08DADB74" w14:textId="77777777" w:rsidR="001C7FF7" w:rsidRPr="00EE14A4" w:rsidRDefault="001C7FF7" w:rsidP="00230F11">
            <w:pPr>
              <w:tabs>
                <w:tab w:val="right" w:pos="10574"/>
              </w:tabs>
              <w:rPr>
                <w:rFonts w:ascii="Arial" w:hAnsi="Arial" w:cs="Arial"/>
                <w:b/>
                <w:bCs/>
                <w:sz w:val="20"/>
                <w:szCs w:val="20"/>
              </w:rPr>
            </w:pPr>
            <w:r>
              <w:rPr>
                <w:rFonts w:ascii="Arial" w:hAnsi="Arial" w:cs="Arial"/>
                <w:b/>
                <w:bCs/>
                <w:sz w:val="20"/>
                <w:szCs w:val="20"/>
              </w:rPr>
              <w:t>Proposed Purchase Dates</w:t>
            </w:r>
            <w:r>
              <w:rPr>
                <w:rFonts w:ascii="Arial" w:hAnsi="Arial" w:cs="Arial"/>
                <w:b/>
                <w:bCs/>
                <w:sz w:val="20"/>
                <w:szCs w:val="20"/>
              </w:rPr>
              <w:tab/>
              <w:t>* Start Date must be more than 20 business days from date of request to CPU.</w:t>
            </w:r>
          </w:p>
        </w:tc>
      </w:tr>
      <w:tr w:rsidR="001C7FF7" w14:paraId="1FD3C94C" w14:textId="77777777" w:rsidTr="00AD2C44">
        <w:trPr>
          <w:trHeight w:val="670"/>
        </w:trPr>
        <w:tc>
          <w:tcPr>
            <w:tcW w:w="4902" w:type="dxa"/>
            <w:gridSpan w:val="2"/>
          </w:tcPr>
          <w:p w14:paraId="57DD7CC5" w14:textId="77777777" w:rsidR="001C7FF7" w:rsidRPr="00777CE8" w:rsidRDefault="001C7FF7" w:rsidP="00230F11">
            <w:pPr>
              <w:rPr>
                <w:rFonts w:ascii="Arial" w:hAnsi="Arial" w:cs="Arial"/>
                <w:sz w:val="16"/>
                <w:szCs w:val="16"/>
              </w:rPr>
            </w:pPr>
            <w:r>
              <w:rPr>
                <w:rFonts w:ascii="Arial" w:hAnsi="Arial" w:cs="Arial"/>
                <w:sz w:val="16"/>
                <w:szCs w:val="16"/>
              </w:rPr>
              <w:t>*</w:t>
            </w:r>
            <w:r w:rsidRPr="00777CE8">
              <w:rPr>
                <w:rFonts w:ascii="Arial" w:hAnsi="Arial" w:cs="Arial"/>
                <w:sz w:val="16"/>
                <w:szCs w:val="16"/>
              </w:rPr>
              <w:t>START DATE</w:t>
            </w:r>
          </w:p>
          <w:p w14:paraId="67086D20" w14:textId="41088BB0" w:rsidR="001C7FF7" w:rsidRPr="00777CE8" w:rsidRDefault="00094AA3" w:rsidP="00230F11">
            <w:pPr>
              <w:rPr>
                <w:rFonts w:ascii="Times New Roman" w:hAnsi="Times New Roman" w:cs="Times New Roman"/>
                <w:sz w:val="24"/>
                <w:szCs w:val="24"/>
              </w:rPr>
            </w:pPr>
            <w:r>
              <w:rPr>
                <w:rFonts w:ascii="Times New Roman" w:hAnsi="Times New Roman" w:cs="Times New Roman"/>
                <w:sz w:val="24"/>
                <w:szCs w:val="24"/>
              </w:rPr>
              <w:t>12/1/2025</w:t>
            </w:r>
          </w:p>
        </w:tc>
        <w:tc>
          <w:tcPr>
            <w:tcW w:w="5985" w:type="dxa"/>
            <w:gridSpan w:val="3"/>
          </w:tcPr>
          <w:p w14:paraId="494F637A" w14:textId="77777777" w:rsidR="001C7FF7" w:rsidRPr="00777CE8" w:rsidRDefault="001C7FF7" w:rsidP="00230F11">
            <w:pPr>
              <w:rPr>
                <w:rFonts w:ascii="Arial" w:hAnsi="Arial" w:cs="Arial"/>
                <w:sz w:val="16"/>
                <w:szCs w:val="16"/>
              </w:rPr>
            </w:pPr>
            <w:r w:rsidRPr="00777CE8">
              <w:rPr>
                <w:rFonts w:ascii="Arial" w:hAnsi="Arial" w:cs="Arial"/>
                <w:sz w:val="16"/>
                <w:szCs w:val="16"/>
              </w:rPr>
              <w:t>END DATE</w:t>
            </w:r>
          </w:p>
          <w:p w14:paraId="05A82D05" w14:textId="59B7A26A" w:rsidR="001C7FF7" w:rsidRDefault="00094AA3" w:rsidP="00230F11">
            <w:pPr>
              <w:rPr>
                <w:rFonts w:ascii="Arial" w:hAnsi="Arial" w:cs="Arial"/>
                <w:sz w:val="20"/>
                <w:szCs w:val="20"/>
              </w:rPr>
            </w:pPr>
            <w:r>
              <w:rPr>
                <w:rFonts w:ascii="Arial" w:hAnsi="Arial" w:cs="Arial"/>
                <w:sz w:val="20"/>
                <w:szCs w:val="20"/>
              </w:rPr>
              <w:t>11/30/2027</w:t>
            </w:r>
          </w:p>
        </w:tc>
      </w:tr>
      <w:tr w:rsidR="001C7FF7" w14:paraId="4ECF48F4" w14:textId="77777777" w:rsidTr="00AD2C44">
        <w:trPr>
          <w:trHeight w:val="715"/>
        </w:trPr>
        <w:tc>
          <w:tcPr>
            <w:tcW w:w="10887" w:type="dxa"/>
            <w:gridSpan w:val="5"/>
          </w:tcPr>
          <w:p w14:paraId="1ADE3018" w14:textId="77777777" w:rsidR="001C7FF7" w:rsidRPr="00777CE8" w:rsidRDefault="001C7FF7" w:rsidP="00230F11">
            <w:pPr>
              <w:rPr>
                <w:rFonts w:ascii="Arial" w:hAnsi="Arial" w:cs="Arial"/>
                <w:sz w:val="16"/>
                <w:szCs w:val="16"/>
              </w:rPr>
            </w:pPr>
            <w:r>
              <w:rPr>
                <w:rFonts w:ascii="Arial" w:hAnsi="Arial" w:cs="Arial"/>
                <w:sz w:val="16"/>
                <w:szCs w:val="16"/>
              </w:rPr>
              <w:t>AMENDMENT OPTIONS</w:t>
            </w:r>
          </w:p>
          <w:p w14:paraId="58E7C722" w14:textId="32C10C52" w:rsidR="001C7FF7" w:rsidRPr="00777CE8" w:rsidRDefault="00BF0D76" w:rsidP="00230F11">
            <w:pPr>
              <w:rPr>
                <w:rFonts w:ascii="Arial" w:hAnsi="Arial" w:cs="Arial"/>
                <w:sz w:val="16"/>
                <w:szCs w:val="16"/>
              </w:rPr>
            </w:pPr>
            <w:r>
              <w:rPr>
                <w:rFonts w:ascii="Times New Roman" w:hAnsi="Times New Roman" w:cs="Times New Roman"/>
                <w:b/>
                <w:bCs/>
                <w:sz w:val="24"/>
                <w:szCs w:val="24"/>
              </w:rPr>
              <w:t xml:space="preserve">Agreement may be extended for </w:t>
            </w:r>
            <w:r w:rsidR="00C43604">
              <w:rPr>
                <w:rFonts w:ascii="Times New Roman" w:hAnsi="Times New Roman" w:cs="Times New Roman"/>
                <w:b/>
                <w:bCs/>
                <w:sz w:val="24"/>
                <w:szCs w:val="24"/>
              </w:rPr>
              <w:t xml:space="preserve">an </w:t>
            </w:r>
            <w:r>
              <w:rPr>
                <w:rFonts w:ascii="Times New Roman" w:hAnsi="Times New Roman" w:cs="Times New Roman"/>
                <w:b/>
                <w:bCs/>
                <w:sz w:val="24"/>
                <w:szCs w:val="24"/>
              </w:rPr>
              <w:t xml:space="preserve">additional </w:t>
            </w:r>
            <w:r w:rsidR="00C43604">
              <w:rPr>
                <w:rFonts w:ascii="Times New Roman" w:hAnsi="Times New Roman" w:cs="Times New Roman"/>
                <w:b/>
                <w:bCs/>
                <w:sz w:val="24"/>
                <w:szCs w:val="24"/>
              </w:rPr>
              <w:t>one (1) two</w:t>
            </w:r>
            <w:r>
              <w:rPr>
                <w:rFonts w:ascii="Times New Roman" w:hAnsi="Times New Roman" w:cs="Times New Roman"/>
                <w:b/>
                <w:bCs/>
                <w:sz w:val="24"/>
                <w:szCs w:val="24"/>
              </w:rPr>
              <w:t>-year period.</w:t>
            </w:r>
          </w:p>
        </w:tc>
      </w:tr>
      <w:tr w:rsidR="001C7FF7" w14:paraId="562B250B" w14:textId="77777777" w:rsidTr="00AD2C44">
        <w:tc>
          <w:tcPr>
            <w:tcW w:w="10887" w:type="dxa"/>
            <w:gridSpan w:val="5"/>
          </w:tcPr>
          <w:p w14:paraId="012E9E2C" w14:textId="77777777" w:rsidR="001C7FF7" w:rsidRPr="00AE6918" w:rsidRDefault="001C7FF7" w:rsidP="00230F11">
            <w:pPr>
              <w:spacing w:before="120" w:after="120"/>
              <w:jc w:val="center"/>
              <w:rPr>
                <w:rFonts w:ascii="Arial" w:hAnsi="Arial" w:cs="Arial"/>
                <w:b/>
                <w:bCs/>
                <w:sz w:val="20"/>
                <w:szCs w:val="20"/>
              </w:rPr>
            </w:pPr>
            <w:r>
              <w:rPr>
                <w:rFonts w:ascii="Arial" w:hAnsi="Arial" w:cs="Arial"/>
                <w:b/>
                <w:bCs/>
                <w:sz w:val="20"/>
                <w:szCs w:val="20"/>
              </w:rPr>
              <w:t>Sole Source</w:t>
            </w:r>
            <w:r w:rsidRPr="00AE6918">
              <w:rPr>
                <w:rFonts w:ascii="Arial" w:hAnsi="Arial" w:cs="Arial"/>
                <w:b/>
                <w:bCs/>
                <w:sz w:val="20"/>
                <w:szCs w:val="20"/>
              </w:rPr>
              <w:t xml:space="preserve"> Definition and Guidelines</w:t>
            </w:r>
          </w:p>
          <w:p w14:paraId="7476B62D" w14:textId="77777777" w:rsidR="001C7FF7" w:rsidRPr="00AE6918" w:rsidRDefault="001C7FF7" w:rsidP="00230F11">
            <w:pPr>
              <w:spacing w:before="120" w:after="120" w:line="276" w:lineRule="auto"/>
              <w:rPr>
                <w:rFonts w:ascii="Arial" w:hAnsi="Arial" w:cs="Arial"/>
                <w:sz w:val="20"/>
                <w:szCs w:val="20"/>
                <w:u w:val="single"/>
              </w:rPr>
            </w:pPr>
            <w:r w:rsidRPr="00AE6918">
              <w:rPr>
                <w:rFonts w:ascii="Arial" w:hAnsi="Arial" w:cs="Arial"/>
                <w:sz w:val="20"/>
                <w:szCs w:val="20"/>
                <w:u w:val="single"/>
              </w:rPr>
              <w:t xml:space="preserve">What is </w:t>
            </w:r>
            <w:r>
              <w:rPr>
                <w:rFonts w:ascii="Arial" w:hAnsi="Arial" w:cs="Arial"/>
                <w:sz w:val="20"/>
                <w:szCs w:val="20"/>
                <w:u w:val="single"/>
              </w:rPr>
              <w:t>a sole source filing</w:t>
            </w:r>
            <w:r w:rsidRPr="00AE6918">
              <w:rPr>
                <w:rFonts w:ascii="Arial" w:hAnsi="Arial" w:cs="Arial"/>
                <w:sz w:val="20"/>
                <w:szCs w:val="20"/>
                <w:u w:val="single"/>
              </w:rPr>
              <w:t>?</w:t>
            </w:r>
          </w:p>
          <w:p w14:paraId="0937E565" w14:textId="77777777" w:rsidR="001C7FF7" w:rsidRDefault="001C7FF7" w:rsidP="00230F11">
            <w:pPr>
              <w:spacing w:before="120" w:after="120" w:line="276" w:lineRule="auto"/>
              <w:rPr>
                <w:rFonts w:ascii="Arial" w:hAnsi="Arial" w:cs="Arial"/>
                <w:sz w:val="20"/>
                <w:szCs w:val="20"/>
              </w:rPr>
            </w:pPr>
            <w:r>
              <w:rPr>
                <w:rFonts w:ascii="Arial" w:hAnsi="Arial" w:cs="Arial"/>
                <w:sz w:val="20"/>
                <w:szCs w:val="20"/>
              </w:rPr>
              <w:t xml:space="preserve">“Sole source” means a vendor providing goods or services of such a unique nature or sole availability at the location required that the contractor is clearly and justifiably the only practicable source to provide the goods or services.  </w:t>
            </w:r>
            <w:r>
              <w:rPr>
                <w:rFonts w:ascii="Arial" w:hAnsi="Arial" w:cs="Arial"/>
                <w:sz w:val="20"/>
                <w:szCs w:val="20"/>
              </w:rPr>
              <w:br/>
              <w:t>(RCW 39.26.0101)</w:t>
            </w:r>
          </w:p>
          <w:p w14:paraId="40681B40" w14:textId="77777777" w:rsidR="001C7FF7" w:rsidRDefault="001C7FF7" w:rsidP="00230F11">
            <w:pPr>
              <w:spacing w:before="120" w:after="120" w:line="276" w:lineRule="auto"/>
              <w:rPr>
                <w:rFonts w:ascii="Arial" w:hAnsi="Arial" w:cs="Arial"/>
                <w:sz w:val="20"/>
                <w:szCs w:val="20"/>
              </w:rPr>
            </w:pPr>
            <w:r>
              <w:rPr>
                <w:rFonts w:ascii="Arial" w:hAnsi="Arial" w:cs="Arial"/>
                <w:sz w:val="20"/>
                <w:szCs w:val="20"/>
              </w:rPr>
              <w:t>Unique qualifications or services are those which are highly specialized or one-of-a-kind.</w:t>
            </w:r>
          </w:p>
          <w:p w14:paraId="74EA2BA1" w14:textId="77777777" w:rsidR="001C7FF7" w:rsidRDefault="001C7FF7" w:rsidP="00230F11">
            <w:pPr>
              <w:spacing w:before="120" w:after="120" w:line="276" w:lineRule="auto"/>
              <w:rPr>
                <w:rFonts w:ascii="Arial" w:hAnsi="Arial" w:cs="Arial"/>
                <w:sz w:val="20"/>
                <w:szCs w:val="20"/>
              </w:rPr>
            </w:pPr>
            <w:r>
              <w:rPr>
                <w:rFonts w:ascii="Arial" w:hAnsi="Arial" w:cs="Arial"/>
                <w:sz w:val="20"/>
                <w:szCs w:val="20"/>
              </w:rPr>
              <w:t>Other factors which may be considered include past performance, cost-effectiveness (learning curve), and/or follow-up nature of the required goods and/or services.  Past performance alone does not provide adequate justification for a sole source filing.  Time constraints may be considered as a contributing factor in a sole source justification however will not be on its own sufficient justification.</w:t>
            </w:r>
          </w:p>
          <w:p w14:paraId="5698C755" w14:textId="77777777" w:rsidR="001C7FF7" w:rsidRPr="00AE6918" w:rsidRDefault="001C7FF7" w:rsidP="00230F11">
            <w:pPr>
              <w:spacing w:before="120" w:after="120" w:line="276" w:lineRule="auto"/>
              <w:rPr>
                <w:rFonts w:ascii="Arial" w:hAnsi="Arial" w:cs="Arial"/>
                <w:sz w:val="20"/>
                <w:szCs w:val="20"/>
                <w:u w:val="single"/>
              </w:rPr>
            </w:pPr>
            <w:r>
              <w:rPr>
                <w:rFonts w:ascii="Arial" w:hAnsi="Arial" w:cs="Arial"/>
                <w:sz w:val="20"/>
                <w:szCs w:val="20"/>
                <w:u w:val="single"/>
              </w:rPr>
              <w:t>Why is a sole source justification required?</w:t>
            </w:r>
          </w:p>
          <w:p w14:paraId="3E23EDDB" w14:textId="77777777" w:rsidR="001C7FF7" w:rsidRPr="00186952" w:rsidRDefault="001C7FF7" w:rsidP="00230F11">
            <w:pPr>
              <w:spacing w:before="120" w:after="120" w:line="276" w:lineRule="auto"/>
              <w:rPr>
                <w:rFonts w:ascii="Arial" w:hAnsi="Arial" w:cs="Arial"/>
                <w:iCs/>
                <w:sz w:val="20"/>
                <w:szCs w:val="20"/>
              </w:rPr>
            </w:pPr>
            <w:r w:rsidRPr="00186952">
              <w:rPr>
                <w:rFonts w:ascii="Arial" w:hAnsi="Arial" w:cs="Arial"/>
                <w:iCs/>
                <w:sz w:val="20"/>
                <w:szCs w:val="20"/>
              </w:rPr>
              <w:t xml:space="preserve">The State of Washington, by law and policy, believes competition is the best strategy to obtain the best value for the goods and services it purchases, and to ensure that all interested vendors have a fair and transparent opportunity to sell goods and services to the state. </w:t>
            </w:r>
          </w:p>
          <w:p w14:paraId="0368CC92" w14:textId="77777777" w:rsidR="001C7FF7" w:rsidRDefault="001C7FF7" w:rsidP="00230F11">
            <w:pPr>
              <w:spacing w:before="120" w:after="120" w:line="276" w:lineRule="auto"/>
              <w:rPr>
                <w:rFonts w:ascii="Arial" w:hAnsi="Arial" w:cs="Arial"/>
                <w:iCs/>
                <w:sz w:val="20"/>
                <w:szCs w:val="20"/>
              </w:rPr>
            </w:pPr>
            <w:r w:rsidRPr="00186952">
              <w:rPr>
                <w:rFonts w:ascii="Arial" w:hAnsi="Arial" w:cs="Arial"/>
                <w:iCs/>
                <w:sz w:val="20"/>
                <w:szCs w:val="20"/>
              </w:rPr>
              <w:t xml:space="preserve">A sole source </w:t>
            </w:r>
            <w:r>
              <w:rPr>
                <w:rFonts w:ascii="Arial" w:hAnsi="Arial" w:cs="Arial"/>
                <w:iCs/>
                <w:sz w:val="20"/>
                <w:szCs w:val="20"/>
              </w:rPr>
              <w:t>filing</w:t>
            </w:r>
            <w:r w:rsidRPr="00186952">
              <w:rPr>
                <w:rFonts w:ascii="Arial" w:hAnsi="Arial" w:cs="Arial"/>
                <w:iCs/>
                <w:sz w:val="20"/>
                <w:szCs w:val="20"/>
              </w:rPr>
              <w:t xml:space="preserve"> does not benefit from competition.  Thus, the state, through RCW 39.26.010, has determined it is important to evaluate whether the conditions, costs and risks related to the proposal of a sole source </w:t>
            </w:r>
            <w:r>
              <w:rPr>
                <w:rFonts w:ascii="Arial" w:hAnsi="Arial" w:cs="Arial"/>
                <w:iCs/>
                <w:sz w:val="20"/>
                <w:szCs w:val="20"/>
              </w:rPr>
              <w:t>filing</w:t>
            </w:r>
            <w:r w:rsidRPr="00186952">
              <w:rPr>
                <w:rFonts w:ascii="Arial" w:hAnsi="Arial" w:cs="Arial"/>
                <w:iCs/>
                <w:sz w:val="20"/>
                <w:szCs w:val="20"/>
              </w:rPr>
              <w:t xml:space="preserve"> truly outweigh the benefits of a competitive </w:t>
            </w:r>
            <w:r>
              <w:rPr>
                <w:rFonts w:ascii="Arial" w:hAnsi="Arial" w:cs="Arial"/>
                <w:iCs/>
                <w:sz w:val="20"/>
                <w:szCs w:val="20"/>
              </w:rPr>
              <w:t>procurement</w:t>
            </w:r>
            <w:r w:rsidRPr="00186952">
              <w:rPr>
                <w:rFonts w:ascii="Arial" w:hAnsi="Arial" w:cs="Arial"/>
                <w:iCs/>
                <w:sz w:val="20"/>
                <w:szCs w:val="20"/>
              </w:rPr>
              <w:t>.</w:t>
            </w:r>
          </w:p>
          <w:p w14:paraId="667CA0A1" w14:textId="77777777" w:rsidR="001C7FF7" w:rsidRPr="001420A4" w:rsidRDefault="001C7FF7" w:rsidP="00230F11">
            <w:pPr>
              <w:tabs>
                <w:tab w:val="left" w:pos="4110"/>
              </w:tabs>
              <w:spacing w:line="259" w:lineRule="auto"/>
              <w:rPr>
                <w:rFonts w:ascii="Arial" w:hAnsi="Arial" w:cs="Arial"/>
                <w:sz w:val="20"/>
                <w:szCs w:val="20"/>
              </w:rPr>
            </w:pPr>
            <w:r>
              <w:rPr>
                <w:rFonts w:ascii="Arial" w:hAnsi="Arial" w:cs="Arial"/>
                <w:sz w:val="20"/>
                <w:szCs w:val="20"/>
              </w:rPr>
              <w:tab/>
            </w:r>
          </w:p>
        </w:tc>
      </w:tr>
      <w:tr w:rsidR="001C7FF7" w14:paraId="321D6331" w14:textId="77777777" w:rsidTr="00AD2C44">
        <w:trPr>
          <w:trHeight w:val="317"/>
        </w:trPr>
        <w:tc>
          <w:tcPr>
            <w:tcW w:w="10887" w:type="dxa"/>
            <w:gridSpan w:val="5"/>
            <w:shd w:val="clear" w:color="auto" w:fill="C1E4F5" w:themeFill="accent1" w:themeFillTint="33"/>
            <w:vAlign w:val="center"/>
          </w:tcPr>
          <w:p w14:paraId="5038E7B1" w14:textId="77777777" w:rsidR="001C7FF7" w:rsidRPr="00EE14A4" w:rsidRDefault="001C7FF7" w:rsidP="00230F11">
            <w:pPr>
              <w:keepNext/>
              <w:rPr>
                <w:rFonts w:ascii="Arial" w:hAnsi="Arial" w:cs="Arial"/>
                <w:b/>
                <w:bCs/>
                <w:sz w:val="20"/>
                <w:szCs w:val="20"/>
              </w:rPr>
            </w:pPr>
            <w:r>
              <w:rPr>
                <w:rFonts w:ascii="Arial" w:hAnsi="Arial" w:cs="Arial"/>
                <w:b/>
                <w:bCs/>
                <w:sz w:val="20"/>
                <w:szCs w:val="20"/>
              </w:rPr>
              <w:lastRenderedPageBreak/>
              <w:t>Sole Source Justification</w:t>
            </w:r>
          </w:p>
        </w:tc>
      </w:tr>
      <w:tr w:rsidR="001C7FF7" w14:paraId="5974E70B" w14:textId="77777777" w:rsidTr="00AD2C44">
        <w:tc>
          <w:tcPr>
            <w:tcW w:w="10887" w:type="dxa"/>
            <w:gridSpan w:val="5"/>
          </w:tcPr>
          <w:p w14:paraId="2C732C3D" w14:textId="77777777" w:rsidR="001C7FF7" w:rsidRDefault="001C7FF7" w:rsidP="00230F11">
            <w:pPr>
              <w:spacing w:before="60" w:after="60" w:line="276" w:lineRule="auto"/>
              <w:rPr>
                <w:rFonts w:ascii="Arial" w:hAnsi="Arial" w:cs="Arial"/>
                <w:sz w:val="20"/>
                <w:szCs w:val="20"/>
              </w:rPr>
            </w:pPr>
            <w:r>
              <w:rPr>
                <w:rFonts w:ascii="Arial" w:hAnsi="Arial" w:cs="Arial"/>
                <w:sz w:val="20"/>
                <w:szCs w:val="20"/>
              </w:rPr>
              <w:t xml:space="preserve">To expedite CPU and DES review of this sole source filing, please provide </w:t>
            </w:r>
            <w:r w:rsidRPr="00777CE8">
              <w:rPr>
                <w:rFonts w:ascii="Arial" w:hAnsi="Arial" w:cs="Arial"/>
                <w:b/>
                <w:bCs/>
                <w:sz w:val="20"/>
                <w:szCs w:val="20"/>
                <w:u w:val="single"/>
              </w:rPr>
              <w:t>clear and compelling</w:t>
            </w:r>
            <w:r>
              <w:rPr>
                <w:rFonts w:ascii="Arial" w:hAnsi="Arial" w:cs="Arial"/>
                <w:sz w:val="20"/>
                <w:szCs w:val="20"/>
              </w:rPr>
              <w:t xml:space="preserve"> answers to the following justification questions.</w:t>
            </w:r>
          </w:p>
        </w:tc>
      </w:tr>
      <w:tr w:rsidR="001C7FF7" w14:paraId="445ADA4D" w14:textId="77777777" w:rsidTr="00AD2C44">
        <w:trPr>
          <w:trHeight w:val="1255"/>
        </w:trPr>
        <w:tc>
          <w:tcPr>
            <w:tcW w:w="10887" w:type="dxa"/>
            <w:gridSpan w:val="5"/>
          </w:tcPr>
          <w:p w14:paraId="74D06463" w14:textId="77777777" w:rsidR="001C7FF7" w:rsidRDefault="001C7FF7" w:rsidP="00230F11">
            <w:pPr>
              <w:pStyle w:val="ListParagraph"/>
              <w:numPr>
                <w:ilvl w:val="0"/>
                <w:numId w:val="1"/>
              </w:numPr>
              <w:spacing w:before="60" w:after="60" w:line="276" w:lineRule="auto"/>
              <w:ind w:left="345"/>
              <w:rPr>
                <w:rFonts w:ascii="Arial" w:hAnsi="Arial" w:cs="Arial"/>
                <w:sz w:val="20"/>
                <w:szCs w:val="20"/>
              </w:rPr>
            </w:pPr>
            <w:r>
              <w:rPr>
                <w:rFonts w:ascii="Arial" w:hAnsi="Arial" w:cs="Arial"/>
                <w:sz w:val="20"/>
                <w:szCs w:val="20"/>
              </w:rPr>
              <w:t xml:space="preserve">What is the </w:t>
            </w:r>
            <w:r>
              <w:rPr>
                <w:rFonts w:ascii="Arial" w:hAnsi="Arial" w:cs="Arial"/>
                <w:sz w:val="20"/>
                <w:szCs w:val="20"/>
                <w:u w:val="single"/>
              </w:rPr>
              <w:t>business need or problem</w:t>
            </w:r>
            <w:r>
              <w:rPr>
                <w:rFonts w:ascii="Arial" w:hAnsi="Arial" w:cs="Arial"/>
                <w:sz w:val="20"/>
                <w:szCs w:val="20"/>
              </w:rPr>
              <w:t xml:space="preserve"> that requires </w:t>
            </w:r>
            <w:r w:rsidRPr="00971CDE">
              <w:rPr>
                <w:rFonts w:ascii="Arial" w:hAnsi="Arial" w:cs="Arial"/>
                <w:sz w:val="20"/>
                <w:szCs w:val="20"/>
              </w:rPr>
              <w:t>this procurement</w:t>
            </w:r>
            <w:r>
              <w:rPr>
                <w:rFonts w:ascii="Arial" w:hAnsi="Arial" w:cs="Arial"/>
                <w:sz w:val="20"/>
                <w:szCs w:val="20"/>
              </w:rPr>
              <w:t>?</w:t>
            </w:r>
          </w:p>
          <w:p w14:paraId="79A83088" w14:textId="291BDF7F" w:rsidR="001C7FF7" w:rsidRPr="00AD2C44" w:rsidRDefault="00094AA3" w:rsidP="00683D20">
            <w:pPr>
              <w:pStyle w:val="ListParagraph"/>
              <w:spacing w:before="60" w:after="60" w:line="276" w:lineRule="auto"/>
              <w:ind w:left="345"/>
              <w:rPr>
                <w:rFonts w:ascii="Arial" w:hAnsi="Arial" w:cs="Arial"/>
                <w:b/>
                <w:bCs/>
                <w:sz w:val="20"/>
                <w:szCs w:val="20"/>
              </w:rPr>
            </w:pPr>
            <w:r w:rsidRPr="00AD2C44">
              <w:rPr>
                <w:rFonts w:ascii="Arial" w:hAnsi="Arial" w:cs="Arial"/>
                <w:b/>
                <w:bCs/>
                <w:sz w:val="20"/>
                <w:szCs w:val="20"/>
              </w:rPr>
              <w:t xml:space="preserve">DSHS </w:t>
            </w:r>
            <w:r w:rsidR="00C43604">
              <w:rPr>
                <w:rFonts w:ascii="Arial" w:hAnsi="Arial" w:cs="Arial"/>
                <w:b/>
                <w:bCs/>
                <w:sz w:val="20"/>
                <w:szCs w:val="20"/>
              </w:rPr>
              <w:t xml:space="preserve">BHHA facility clinical staff must have uninterrupted access to </w:t>
            </w:r>
            <w:r w:rsidRPr="00AD2C44">
              <w:rPr>
                <w:rFonts w:ascii="Arial" w:hAnsi="Arial" w:cs="Arial"/>
                <w:b/>
                <w:bCs/>
                <w:sz w:val="20"/>
                <w:szCs w:val="20"/>
              </w:rPr>
              <w:t>point of care data that is unique to our behavioral health patient population</w:t>
            </w:r>
            <w:r w:rsidR="00705734" w:rsidRPr="00AD2C44">
              <w:rPr>
                <w:rFonts w:ascii="Arial" w:hAnsi="Arial" w:cs="Arial"/>
                <w:b/>
                <w:bCs/>
                <w:sz w:val="20"/>
                <w:szCs w:val="20"/>
              </w:rPr>
              <w:t xml:space="preserve">, especially side-effects and issues related to the use of antipsychotic drugs. </w:t>
            </w:r>
            <w:r w:rsidR="00683D20" w:rsidRPr="00AD2C44">
              <w:rPr>
                <w:rFonts w:ascii="Arial" w:hAnsi="Arial" w:cs="Arial"/>
                <w:b/>
                <w:bCs/>
                <w:sz w:val="20"/>
                <w:szCs w:val="20"/>
              </w:rPr>
              <w:t xml:space="preserve"> </w:t>
            </w:r>
            <w:r w:rsidR="00705734" w:rsidRPr="00AD2C44">
              <w:rPr>
                <w:rFonts w:ascii="Arial" w:hAnsi="Arial" w:cs="Arial"/>
                <w:b/>
                <w:bCs/>
                <w:sz w:val="20"/>
                <w:szCs w:val="20"/>
              </w:rPr>
              <w:t>UpToDate</w:t>
            </w:r>
            <w:r w:rsidR="00E51337">
              <w:rPr>
                <w:rFonts w:ascii="Arial" w:hAnsi="Arial" w:cs="Arial"/>
                <w:b/>
                <w:bCs/>
                <w:sz w:val="20"/>
                <w:szCs w:val="20"/>
              </w:rPr>
              <w:t xml:space="preserve"> </w:t>
            </w:r>
            <w:r w:rsidR="00705734" w:rsidRPr="00AD2C44">
              <w:rPr>
                <w:rFonts w:ascii="Arial" w:hAnsi="Arial" w:cs="Arial"/>
                <w:b/>
                <w:bCs/>
                <w:sz w:val="20"/>
                <w:szCs w:val="20"/>
              </w:rPr>
              <w:t>provides information related to the BHHA</w:t>
            </w:r>
            <w:r w:rsidRPr="00AD2C44">
              <w:rPr>
                <w:rFonts w:ascii="Arial" w:hAnsi="Arial" w:cs="Arial"/>
                <w:b/>
                <w:bCs/>
                <w:sz w:val="20"/>
                <w:szCs w:val="20"/>
              </w:rPr>
              <w:t xml:space="preserve"> patient population</w:t>
            </w:r>
            <w:r w:rsidR="00705734" w:rsidRPr="00AD2C44">
              <w:rPr>
                <w:rFonts w:ascii="Arial" w:hAnsi="Arial" w:cs="Arial"/>
                <w:b/>
                <w:bCs/>
                <w:sz w:val="20"/>
                <w:szCs w:val="20"/>
              </w:rPr>
              <w:t>, which</w:t>
            </w:r>
            <w:r w:rsidRPr="00AD2C44">
              <w:rPr>
                <w:rFonts w:ascii="Arial" w:hAnsi="Arial" w:cs="Arial"/>
                <w:b/>
                <w:bCs/>
                <w:sz w:val="20"/>
                <w:szCs w:val="20"/>
              </w:rPr>
              <w:t xml:space="preserve"> is mostly psychiatric in-patient care.  For optimal treatment, physicians, </w:t>
            </w:r>
            <w:r w:rsidR="004239CC" w:rsidRPr="00AD2C44">
              <w:rPr>
                <w:rFonts w:ascii="Arial" w:hAnsi="Arial" w:cs="Arial"/>
                <w:b/>
                <w:bCs/>
                <w:sz w:val="20"/>
                <w:szCs w:val="20"/>
              </w:rPr>
              <w:t>pharmacists</w:t>
            </w:r>
            <w:r w:rsidRPr="00AD2C44">
              <w:rPr>
                <w:rFonts w:ascii="Arial" w:hAnsi="Arial" w:cs="Arial"/>
                <w:b/>
                <w:bCs/>
                <w:sz w:val="20"/>
                <w:szCs w:val="20"/>
              </w:rPr>
              <w:t>,</w:t>
            </w:r>
            <w:r w:rsidR="004239CC" w:rsidRPr="00AD2C44">
              <w:rPr>
                <w:rFonts w:ascii="Arial" w:hAnsi="Arial" w:cs="Arial"/>
                <w:b/>
                <w:bCs/>
                <w:sz w:val="20"/>
                <w:szCs w:val="20"/>
              </w:rPr>
              <w:t xml:space="preserve"> psychologists,</w:t>
            </w:r>
            <w:r w:rsidRPr="00AD2C44">
              <w:rPr>
                <w:rFonts w:ascii="Arial" w:hAnsi="Arial" w:cs="Arial"/>
                <w:b/>
                <w:bCs/>
                <w:sz w:val="20"/>
                <w:szCs w:val="20"/>
              </w:rPr>
              <w:t xml:space="preserve"> and </w:t>
            </w:r>
            <w:r w:rsidR="00683D20" w:rsidRPr="00AD2C44">
              <w:rPr>
                <w:rFonts w:ascii="Arial" w:hAnsi="Arial" w:cs="Arial"/>
                <w:b/>
                <w:bCs/>
                <w:sz w:val="20"/>
                <w:szCs w:val="20"/>
              </w:rPr>
              <w:t>psychiatrists</w:t>
            </w:r>
            <w:r w:rsidR="004239CC" w:rsidRPr="00AD2C44">
              <w:rPr>
                <w:rFonts w:ascii="Arial" w:hAnsi="Arial" w:cs="Arial"/>
                <w:b/>
                <w:bCs/>
                <w:sz w:val="20"/>
                <w:szCs w:val="20"/>
              </w:rPr>
              <w:t xml:space="preserve"> </w:t>
            </w:r>
            <w:r w:rsidRPr="00AD2C44">
              <w:rPr>
                <w:rFonts w:ascii="Arial" w:hAnsi="Arial" w:cs="Arial"/>
                <w:b/>
                <w:bCs/>
                <w:sz w:val="20"/>
                <w:szCs w:val="20"/>
              </w:rPr>
              <w:t xml:space="preserve">need access to on-the-spot drug interaction libraries that </w:t>
            </w:r>
            <w:r w:rsidR="004239CC" w:rsidRPr="00AD2C44">
              <w:rPr>
                <w:rFonts w:ascii="Arial" w:hAnsi="Arial" w:cs="Arial"/>
                <w:b/>
                <w:bCs/>
                <w:sz w:val="20"/>
                <w:szCs w:val="20"/>
              </w:rPr>
              <w:t>integrate</w:t>
            </w:r>
            <w:r w:rsidRPr="00AD2C44">
              <w:rPr>
                <w:rFonts w:ascii="Arial" w:hAnsi="Arial" w:cs="Arial"/>
                <w:b/>
                <w:bCs/>
                <w:sz w:val="20"/>
                <w:szCs w:val="20"/>
              </w:rPr>
              <w:t xml:space="preserve"> with primary care treatment.   </w:t>
            </w:r>
            <w:r w:rsidR="004239CC" w:rsidRPr="00AD2C44">
              <w:rPr>
                <w:rFonts w:ascii="Arial" w:hAnsi="Arial" w:cs="Arial"/>
                <w:b/>
                <w:bCs/>
                <w:sz w:val="20"/>
                <w:szCs w:val="20"/>
              </w:rPr>
              <w:t>BHHA</w:t>
            </w:r>
            <w:r w:rsidRPr="00AD2C44">
              <w:rPr>
                <w:rFonts w:ascii="Arial" w:hAnsi="Arial" w:cs="Arial"/>
                <w:b/>
                <w:bCs/>
                <w:sz w:val="20"/>
                <w:szCs w:val="20"/>
              </w:rPr>
              <w:t xml:space="preserve"> need</w:t>
            </w:r>
            <w:r w:rsidR="004239CC" w:rsidRPr="00AD2C44">
              <w:rPr>
                <w:rFonts w:ascii="Arial" w:hAnsi="Arial" w:cs="Arial"/>
                <w:b/>
                <w:bCs/>
                <w:sz w:val="20"/>
                <w:szCs w:val="20"/>
              </w:rPr>
              <w:t>s</w:t>
            </w:r>
            <w:r w:rsidRPr="00AD2C44">
              <w:rPr>
                <w:rFonts w:ascii="Arial" w:hAnsi="Arial" w:cs="Arial"/>
                <w:b/>
                <w:bCs/>
                <w:sz w:val="20"/>
                <w:szCs w:val="20"/>
              </w:rPr>
              <w:t xml:space="preserve"> </w:t>
            </w:r>
            <w:r w:rsidR="00C43604">
              <w:rPr>
                <w:rFonts w:ascii="Arial" w:hAnsi="Arial" w:cs="Arial"/>
                <w:b/>
                <w:bCs/>
                <w:sz w:val="20"/>
                <w:szCs w:val="20"/>
              </w:rPr>
              <w:t xml:space="preserve">to have access to </w:t>
            </w:r>
            <w:r w:rsidRPr="00AD2C44">
              <w:rPr>
                <w:rFonts w:ascii="Arial" w:hAnsi="Arial" w:cs="Arial"/>
                <w:b/>
                <w:bCs/>
                <w:sz w:val="20"/>
                <w:szCs w:val="20"/>
              </w:rPr>
              <w:t>the most current and unbiased information to reduce medical errors, reduce complications, and improve overall quality of care and patient outcomes</w:t>
            </w:r>
            <w:r w:rsidR="00C43604">
              <w:rPr>
                <w:rFonts w:ascii="Arial" w:hAnsi="Arial" w:cs="Arial"/>
                <w:b/>
                <w:bCs/>
                <w:sz w:val="20"/>
                <w:szCs w:val="20"/>
              </w:rPr>
              <w:t xml:space="preserve">.  The current subscription </w:t>
            </w:r>
            <w:r w:rsidR="00CE585A">
              <w:rPr>
                <w:rFonts w:ascii="Arial" w:hAnsi="Arial" w:cs="Arial"/>
                <w:b/>
                <w:bCs/>
                <w:sz w:val="20"/>
                <w:szCs w:val="20"/>
              </w:rPr>
              <w:t xml:space="preserve">for UpToDate </w:t>
            </w:r>
            <w:r w:rsidR="00C43604">
              <w:rPr>
                <w:rFonts w:ascii="Arial" w:hAnsi="Arial" w:cs="Arial"/>
                <w:b/>
                <w:bCs/>
                <w:sz w:val="20"/>
                <w:szCs w:val="20"/>
              </w:rPr>
              <w:t>expires November 30, 2025, and for BHHA to continue use, a new subscription with UpToDate must be reissued to ensure services continue without interruption</w:t>
            </w:r>
            <w:r w:rsidRPr="00AD2C44">
              <w:rPr>
                <w:rFonts w:ascii="Arial" w:hAnsi="Arial" w:cs="Arial"/>
                <w:b/>
                <w:bCs/>
                <w:sz w:val="20"/>
                <w:szCs w:val="20"/>
              </w:rPr>
              <w:t xml:space="preserve">.  </w:t>
            </w:r>
          </w:p>
        </w:tc>
      </w:tr>
      <w:tr w:rsidR="001C7FF7" w14:paraId="2023F536" w14:textId="77777777" w:rsidTr="00AD2C44">
        <w:trPr>
          <w:trHeight w:val="1444"/>
        </w:trPr>
        <w:tc>
          <w:tcPr>
            <w:tcW w:w="10887" w:type="dxa"/>
            <w:gridSpan w:val="5"/>
          </w:tcPr>
          <w:p w14:paraId="6C75906A" w14:textId="77777777" w:rsidR="001C7FF7" w:rsidRDefault="001C7FF7" w:rsidP="00230F11">
            <w:pPr>
              <w:pStyle w:val="ListParagraph"/>
              <w:numPr>
                <w:ilvl w:val="0"/>
                <w:numId w:val="1"/>
              </w:numPr>
              <w:spacing w:before="60" w:after="60"/>
              <w:ind w:left="345"/>
              <w:rPr>
                <w:rFonts w:ascii="Arial" w:hAnsi="Arial" w:cs="Arial"/>
                <w:sz w:val="20"/>
                <w:szCs w:val="20"/>
              </w:rPr>
            </w:pPr>
            <w:r>
              <w:rPr>
                <w:rFonts w:ascii="Arial" w:hAnsi="Arial" w:cs="Arial"/>
                <w:sz w:val="20"/>
                <w:szCs w:val="20"/>
              </w:rPr>
              <w:t xml:space="preserve">Describe the </w:t>
            </w:r>
            <w:r w:rsidRPr="00272746">
              <w:rPr>
                <w:rFonts w:ascii="Arial" w:hAnsi="Arial" w:cs="Arial"/>
                <w:sz w:val="20"/>
                <w:szCs w:val="20"/>
                <w:u w:val="single"/>
              </w:rPr>
              <w:t>unique features, qualifications, abilities or expertise</w:t>
            </w:r>
            <w:r>
              <w:rPr>
                <w:rFonts w:ascii="Arial" w:hAnsi="Arial" w:cs="Arial"/>
                <w:sz w:val="20"/>
                <w:szCs w:val="20"/>
              </w:rPr>
              <w:t xml:space="preserve"> of the vendor proposed for this sole source filing.</w:t>
            </w:r>
          </w:p>
          <w:p w14:paraId="3F104B1B" w14:textId="77777777" w:rsidR="00CE585A" w:rsidRDefault="00CE585A" w:rsidP="00494578">
            <w:pPr>
              <w:spacing w:before="60" w:after="60"/>
              <w:ind w:left="345"/>
              <w:rPr>
                <w:rFonts w:ascii="Arial" w:hAnsi="Arial" w:cs="Arial"/>
                <w:b/>
                <w:bCs/>
                <w:sz w:val="20"/>
                <w:szCs w:val="20"/>
              </w:rPr>
            </w:pPr>
          </w:p>
          <w:p w14:paraId="63CBCAC2" w14:textId="66CCF654" w:rsidR="009416A8" w:rsidRDefault="00094AA3" w:rsidP="00494578">
            <w:pPr>
              <w:spacing w:before="60" w:after="60"/>
              <w:ind w:left="345"/>
              <w:rPr>
                <w:rFonts w:ascii="Arial" w:hAnsi="Arial" w:cs="Arial"/>
                <w:b/>
                <w:bCs/>
                <w:sz w:val="20"/>
                <w:szCs w:val="20"/>
              </w:rPr>
            </w:pPr>
            <w:r w:rsidRPr="00AD2C44">
              <w:rPr>
                <w:rFonts w:ascii="Arial" w:hAnsi="Arial" w:cs="Arial"/>
                <w:b/>
                <w:bCs/>
                <w:sz w:val="20"/>
                <w:szCs w:val="20"/>
              </w:rPr>
              <w:t>UpToDate</w:t>
            </w:r>
            <w:r w:rsidR="00542A2F">
              <w:rPr>
                <w:rFonts w:ascii="Arial" w:hAnsi="Arial" w:cs="Arial"/>
                <w:b/>
                <w:bCs/>
                <w:sz w:val="20"/>
                <w:szCs w:val="20"/>
              </w:rPr>
              <w:t xml:space="preserve"> </w:t>
            </w:r>
            <w:r w:rsidR="009416A8">
              <w:rPr>
                <w:rFonts w:ascii="Arial" w:hAnsi="Arial" w:cs="Arial"/>
                <w:b/>
                <w:bCs/>
                <w:sz w:val="20"/>
                <w:szCs w:val="20"/>
              </w:rPr>
              <w:t xml:space="preserve">is an evidence-based clinical decision support resource that offers comprehensive, peer-reviewed content in 25 medical specialties.  </w:t>
            </w:r>
            <w:r w:rsidR="009416A8" w:rsidRPr="009416A8">
              <w:rPr>
                <w:rFonts w:ascii="Arial" w:hAnsi="Arial" w:cs="Arial"/>
                <w:b/>
                <w:bCs/>
                <w:sz w:val="20"/>
                <w:szCs w:val="20"/>
              </w:rPr>
              <w:t xml:space="preserve">With this subscription, clinicians can access more than 11,800 topics (including text, graphics, and links to more than 425,000 references), graded recommendations, and select drug databases. </w:t>
            </w:r>
            <w:r w:rsidR="00DD3CD7">
              <w:rPr>
                <w:rFonts w:ascii="Arial" w:hAnsi="Arial" w:cs="Arial"/>
                <w:b/>
                <w:bCs/>
                <w:sz w:val="20"/>
                <w:szCs w:val="20"/>
              </w:rPr>
              <w:t xml:space="preserve">UpToDate </w:t>
            </w:r>
            <w:r w:rsidR="009416A8" w:rsidRPr="009416A8">
              <w:rPr>
                <w:rFonts w:ascii="Arial" w:hAnsi="Arial" w:cs="Arial"/>
                <w:b/>
                <w:bCs/>
                <w:sz w:val="20"/>
                <w:szCs w:val="20"/>
              </w:rPr>
              <w:t xml:space="preserve">uses more than 7,100 medically trained authors, editors, and reviewers to write on </w:t>
            </w:r>
            <w:r w:rsidR="00DD3CD7">
              <w:rPr>
                <w:rFonts w:ascii="Arial" w:hAnsi="Arial" w:cs="Arial"/>
                <w:b/>
                <w:bCs/>
                <w:sz w:val="20"/>
                <w:szCs w:val="20"/>
              </w:rPr>
              <w:t xml:space="preserve">UpToDate </w:t>
            </w:r>
            <w:r w:rsidR="009416A8" w:rsidRPr="009416A8">
              <w:rPr>
                <w:rFonts w:ascii="Arial" w:hAnsi="Arial" w:cs="Arial"/>
                <w:b/>
                <w:bCs/>
                <w:sz w:val="20"/>
                <w:szCs w:val="20"/>
              </w:rPr>
              <w:t>topics.  The content incorporates findings from more than 420 journals, providing synopsis for clinicians in the form of concentrated reviews and summations with detailed recommendations and approaches for use in completing their diagnosis.  This proprietary database is unique from any other online medical database or search engines as it is designed to answer specific questions at point of care.</w:t>
            </w:r>
          </w:p>
          <w:p w14:paraId="556FC1A0" w14:textId="77777777" w:rsidR="009416A8" w:rsidRDefault="009416A8" w:rsidP="00494578">
            <w:pPr>
              <w:spacing w:before="60" w:after="60"/>
              <w:ind w:left="345"/>
              <w:rPr>
                <w:rFonts w:ascii="Arial" w:hAnsi="Arial" w:cs="Arial"/>
                <w:b/>
                <w:bCs/>
                <w:sz w:val="20"/>
                <w:szCs w:val="20"/>
              </w:rPr>
            </w:pPr>
          </w:p>
          <w:p w14:paraId="3CA1D889" w14:textId="12F18024" w:rsidR="00CE585A" w:rsidRDefault="009416A8" w:rsidP="00494578">
            <w:pPr>
              <w:spacing w:before="60" w:after="60"/>
              <w:ind w:left="345"/>
              <w:rPr>
                <w:rFonts w:ascii="Arial" w:hAnsi="Arial" w:cs="Arial"/>
                <w:b/>
                <w:bCs/>
                <w:sz w:val="20"/>
                <w:szCs w:val="20"/>
              </w:rPr>
            </w:pPr>
            <w:r>
              <w:rPr>
                <w:rFonts w:ascii="Arial" w:hAnsi="Arial" w:cs="Arial"/>
                <w:b/>
                <w:bCs/>
                <w:sz w:val="20"/>
                <w:szCs w:val="20"/>
              </w:rPr>
              <w:t xml:space="preserve">UpToDate </w:t>
            </w:r>
            <w:r w:rsidRPr="00AD2C44">
              <w:rPr>
                <w:rFonts w:ascii="Arial" w:hAnsi="Arial" w:cs="Arial"/>
                <w:b/>
                <w:bCs/>
                <w:sz w:val="20"/>
                <w:szCs w:val="20"/>
              </w:rPr>
              <w:t xml:space="preserve">is the </w:t>
            </w:r>
            <w:r>
              <w:rPr>
                <w:rFonts w:ascii="Arial" w:hAnsi="Arial" w:cs="Arial"/>
                <w:b/>
                <w:bCs/>
                <w:sz w:val="20"/>
                <w:szCs w:val="20"/>
              </w:rPr>
              <w:t>leading provider in the field of clinical care and is regarded as the “gold standard” for evidenced based information</w:t>
            </w:r>
            <w:r w:rsidRPr="00AD2C44">
              <w:rPr>
                <w:rFonts w:ascii="Arial" w:hAnsi="Arial" w:cs="Arial"/>
                <w:b/>
                <w:bCs/>
                <w:sz w:val="20"/>
                <w:szCs w:val="20"/>
              </w:rPr>
              <w:t>.</w:t>
            </w:r>
            <w:r>
              <w:rPr>
                <w:rFonts w:ascii="Arial" w:hAnsi="Arial" w:cs="Arial"/>
                <w:b/>
                <w:bCs/>
                <w:sz w:val="20"/>
                <w:szCs w:val="20"/>
              </w:rPr>
              <w:t xml:space="preserve">  UpToDate is the only system that provides more than 12,000 evidence-based clinical topic</w:t>
            </w:r>
            <w:r w:rsidR="00987262">
              <w:rPr>
                <w:rFonts w:ascii="Arial" w:hAnsi="Arial" w:cs="Arial"/>
                <w:b/>
                <w:bCs/>
                <w:sz w:val="20"/>
                <w:szCs w:val="20"/>
              </w:rPr>
              <w:t>s</w:t>
            </w:r>
            <w:r>
              <w:rPr>
                <w:rFonts w:ascii="Arial" w:hAnsi="Arial" w:cs="Arial"/>
                <w:b/>
                <w:bCs/>
                <w:sz w:val="20"/>
                <w:szCs w:val="20"/>
              </w:rPr>
              <w:t xml:space="preserve"> across 25 robust clinical specialties as stated in the attached sole source letter received from UpToDate.  </w:t>
            </w:r>
          </w:p>
          <w:p w14:paraId="297D26A0" w14:textId="77777777" w:rsidR="00CE585A" w:rsidRDefault="00CE585A" w:rsidP="00494578">
            <w:pPr>
              <w:spacing w:before="60" w:after="60"/>
              <w:ind w:left="345"/>
              <w:rPr>
                <w:rFonts w:ascii="Arial" w:hAnsi="Arial" w:cs="Arial"/>
                <w:b/>
                <w:bCs/>
                <w:sz w:val="20"/>
                <w:szCs w:val="20"/>
              </w:rPr>
            </w:pPr>
          </w:p>
          <w:p w14:paraId="497F4059" w14:textId="3CB7C764" w:rsidR="009416A8" w:rsidRPr="00CE585A" w:rsidRDefault="009416A8" w:rsidP="00494578">
            <w:pPr>
              <w:spacing w:before="60" w:after="60"/>
              <w:ind w:left="345"/>
              <w:rPr>
                <w:rFonts w:ascii="Arial" w:hAnsi="Arial" w:cs="Arial"/>
                <w:b/>
                <w:bCs/>
                <w:sz w:val="20"/>
                <w:szCs w:val="20"/>
              </w:rPr>
            </w:pPr>
            <w:r w:rsidRPr="00CE585A">
              <w:rPr>
                <w:rFonts w:ascii="Arial" w:hAnsi="Arial" w:cs="Arial"/>
                <w:b/>
                <w:bCs/>
                <w:sz w:val="20"/>
                <w:szCs w:val="20"/>
              </w:rPr>
              <w:t xml:space="preserve">UpToDate is used in more than 180 countries and has been shown in numerous independent studies to be associated with improved medical knowledge, improved quality of care, reduced complications, and reduced medical errors. </w:t>
            </w:r>
            <w:r>
              <w:rPr>
                <w:rFonts w:ascii="Times New Roman" w:hAnsi="Times New Roman" w:cs="Times New Roman"/>
                <w:b/>
                <w:bCs/>
                <w:sz w:val="24"/>
                <w:szCs w:val="24"/>
              </w:rPr>
              <w:t xml:space="preserve"> </w:t>
            </w:r>
            <w:r w:rsidRPr="00CE585A">
              <w:rPr>
                <w:rFonts w:ascii="Arial" w:hAnsi="Arial" w:cs="Arial"/>
                <w:b/>
                <w:bCs/>
                <w:sz w:val="20"/>
                <w:szCs w:val="20"/>
              </w:rPr>
              <w:t xml:space="preserve">UpToDate also had a proven track record of linking directly into electric medical records and other library systems for rapid searching of medical problems.  There is no other resource that offers UpToDate’s extensive amount of content.  </w:t>
            </w:r>
          </w:p>
          <w:p w14:paraId="5FCC7FF8" w14:textId="77777777" w:rsidR="009416A8" w:rsidRDefault="009416A8" w:rsidP="00494578">
            <w:pPr>
              <w:spacing w:before="60" w:after="60"/>
              <w:ind w:left="345"/>
              <w:rPr>
                <w:rFonts w:ascii="Arial" w:hAnsi="Arial" w:cs="Arial"/>
                <w:b/>
                <w:bCs/>
                <w:sz w:val="20"/>
                <w:szCs w:val="20"/>
              </w:rPr>
            </w:pPr>
          </w:p>
          <w:p w14:paraId="1F46807D" w14:textId="71692C1B" w:rsidR="00705734" w:rsidRDefault="009416A8" w:rsidP="00494578">
            <w:pPr>
              <w:spacing w:before="60" w:after="60"/>
              <w:ind w:left="345"/>
              <w:rPr>
                <w:rFonts w:ascii="Arial" w:hAnsi="Arial" w:cs="Arial"/>
                <w:b/>
                <w:bCs/>
                <w:sz w:val="20"/>
                <w:szCs w:val="20"/>
              </w:rPr>
            </w:pPr>
            <w:r w:rsidRPr="00CE585A">
              <w:rPr>
                <w:rFonts w:ascii="Arial" w:hAnsi="Arial" w:cs="Arial"/>
                <w:b/>
                <w:bCs/>
                <w:sz w:val="20"/>
                <w:szCs w:val="20"/>
              </w:rPr>
              <w:t xml:space="preserve">Physicians can obtain Continuing Medical Education (CME) credits for using the database.  </w:t>
            </w:r>
            <w:r w:rsidR="00705734" w:rsidRPr="00AD2C44">
              <w:rPr>
                <w:rFonts w:ascii="Arial" w:hAnsi="Arial" w:cs="Arial"/>
                <w:b/>
                <w:bCs/>
                <w:sz w:val="20"/>
                <w:szCs w:val="20"/>
              </w:rPr>
              <w:t>Practitioners are required to obtain continuing medical education (CME) each year, to renew their state licensure.  The UpToDate</w:t>
            </w:r>
            <w:r w:rsidR="00542A2F">
              <w:rPr>
                <w:rFonts w:ascii="Arial" w:hAnsi="Arial" w:cs="Arial"/>
                <w:b/>
                <w:bCs/>
                <w:sz w:val="20"/>
                <w:szCs w:val="20"/>
              </w:rPr>
              <w:t xml:space="preserve"> </w:t>
            </w:r>
            <w:r w:rsidR="00705734" w:rsidRPr="00AD2C44">
              <w:rPr>
                <w:rFonts w:ascii="Arial" w:hAnsi="Arial" w:cs="Arial"/>
                <w:b/>
                <w:bCs/>
                <w:sz w:val="20"/>
                <w:szCs w:val="20"/>
              </w:rPr>
              <w:t>product offers CME classes as well as tracks website usage by individual practitioners, giving them credit based on their searches and website usage.</w:t>
            </w:r>
          </w:p>
          <w:p w14:paraId="0FBDFFDC" w14:textId="4E84A006" w:rsidR="00C43604" w:rsidRDefault="00C43604" w:rsidP="00494578">
            <w:pPr>
              <w:spacing w:before="60" w:after="60"/>
              <w:ind w:left="345"/>
              <w:rPr>
                <w:rFonts w:ascii="Arial" w:hAnsi="Arial" w:cs="Arial"/>
                <w:b/>
                <w:bCs/>
                <w:sz w:val="20"/>
                <w:szCs w:val="20"/>
              </w:rPr>
            </w:pPr>
          </w:p>
          <w:p w14:paraId="17D8FD3A" w14:textId="77777777" w:rsidR="00410DA4" w:rsidRDefault="00410DA4" w:rsidP="00494578">
            <w:pPr>
              <w:spacing w:before="60" w:after="60"/>
              <w:ind w:left="345"/>
              <w:rPr>
                <w:rFonts w:ascii="Arial" w:hAnsi="Arial" w:cs="Arial"/>
                <w:b/>
                <w:bCs/>
                <w:sz w:val="20"/>
                <w:szCs w:val="20"/>
              </w:rPr>
            </w:pPr>
          </w:p>
          <w:p w14:paraId="51509E37" w14:textId="77777777" w:rsidR="00410DA4" w:rsidRDefault="00410DA4" w:rsidP="00494578">
            <w:pPr>
              <w:spacing w:before="60" w:after="60"/>
              <w:ind w:left="345"/>
              <w:rPr>
                <w:rFonts w:ascii="Arial" w:hAnsi="Arial" w:cs="Arial"/>
                <w:b/>
                <w:bCs/>
                <w:sz w:val="20"/>
                <w:szCs w:val="20"/>
              </w:rPr>
            </w:pPr>
          </w:p>
          <w:p w14:paraId="54201CB7" w14:textId="77777777" w:rsidR="00410DA4" w:rsidRDefault="00410DA4" w:rsidP="00494578">
            <w:pPr>
              <w:spacing w:before="60" w:after="60"/>
              <w:ind w:left="345"/>
              <w:rPr>
                <w:rFonts w:ascii="Arial" w:hAnsi="Arial" w:cs="Arial"/>
                <w:b/>
                <w:bCs/>
                <w:sz w:val="20"/>
                <w:szCs w:val="20"/>
              </w:rPr>
            </w:pPr>
          </w:p>
          <w:p w14:paraId="1BF1A394" w14:textId="77777777" w:rsidR="00410DA4" w:rsidRDefault="00410DA4" w:rsidP="00494578">
            <w:pPr>
              <w:spacing w:before="60" w:after="60"/>
              <w:ind w:left="345"/>
              <w:rPr>
                <w:rFonts w:ascii="Arial" w:hAnsi="Arial" w:cs="Arial"/>
                <w:b/>
                <w:bCs/>
                <w:sz w:val="20"/>
                <w:szCs w:val="20"/>
              </w:rPr>
            </w:pPr>
          </w:p>
          <w:p w14:paraId="1C119C54" w14:textId="77777777" w:rsidR="00410DA4" w:rsidRDefault="00410DA4" w:rsidP="00494578">
            <w:pPr>
              <w:spacing w:before="60" w:after="60"/>
              <w:ind w:left="345"/>
              <w:rPr>
                <w:rFonts w:ascii="Arial" w:hAnsi="Arial" w:cs="Arial"/>
                <w:b/>
                <w:bCs/>
                <w:sz w:val="20"/>
                <w:szCs w:val="20"/>
              </w:rPr>
            </w:pPr>
          </w:p>
          <w:p w14:paraId="25907C68" w14:textId="77777777" w:rsidR="00410DA4" w:rsidRDefault="00410DA4" w:rsidP="00494578">
            <w:pPr>
              <w:spacing w:before="60" w:after="60"/>
              <w:ind w:left="345"/>
              <w:rPr>
                <w:rFonts w:ascii="Arial" w:hAnsi="Arial" w:cs="Arial"/>
                <w:b/>
                <w:bCs/>
                <w:sz w:val="20"/>
                <w:szCs w:val="20"/>
              </w:rPr>
            </w:pPr>
          </w:p>
          <w:p w14:paraId="5ACDD5FC" w14:textId="77777777" w:rsidR="00410DA4" w:rsidRDefault="00410DA4" w:rsidP="00494578">
            <w:pPr>
              <w:spacing w:before="60" w:after="60"/>
              <w:ind w:left="345"/>
              <w:rPr>
                <w:rFonts w:ascii="Arial" w:hAnsi="Arial" w:cs="Arial"/>
                <w:b/>
                <w:bCs/>
                <w:sz w:val="20"/>
                <w:szCs w:val="20"/>
              </w:rPr>
            </w:pPr>
          </w:p>
          <w:p w14:paraId="2E421B46" w14:textId="77777777" w:rsidR="00410DA4" w:rsidRDefault="00410DA4" w:rsidP="00494578">
            <w:pPr>
              <w:spacing w:before="60" w:after="60"/>
              <w:ind w:left="345"/>
              <w:rPr>
                <w:rFonts w:ascii="Arial" w:hAnsi="Arial" w:cs="Arial"/>
                <w:b/>
                <w:bCs/>
                <w:sz w:val="20"/>
                <w:szCs w:val="20"/>
              </w:rPr>
            </w:pPr>
          </w:p>
          <w:p w14:paraId="2CCB0854" w14:textId="77777777" w:rsidR="00410DA4" w:rsidRDefault="00410DA4" w:rsidP="00494578">
            <w:pPr>
              <w:spacing w:before="60" w:after="60"/>
              <w:ind w:left="345"/>
              <w:rPr>
                <w:rFonts w:ascii="Arial" w:hAnsi="Arial" w:cs="Arial"/>
                <w:b/>
                <w:bCs/>
                <w:sz w:val="20"/>
                <w:szCs w:val="20"/>
              </w:rPr>
            </w:pPr>
          </w:p>
          <w:p w14:paraId="3FF9475F" w14:textId="77777777" w:rsidR="00410DA4" w:rsidRDefault="00410DA4" w:rsidP="00494578">
            <w:pPr>
              <w:spacing w:before="60" w:after="60"/>
              <w:ind w:left="345"/>
              <w:rPr>
                <w:rFonts w:ascii="Arial" w:hAnsi="Arial" w:cs="Arial"/>
                <w:b/>
                <w:bCs/>
                <w:sz w:val="20"/>
                <w:szCs w:val="20"/>
              </w:rPr>
            </w:pPr>
          </w:p>
          <w:p w14:paraId="4CDA4979" w14:textId="040B48EC" w:rsidR="00C43604" w:rsidRDefault="00C43604" w:rsidP="00494578">
            <w:pPr>
              <w:spacing w:before="60" w:after="60"/>
              <w:ind w:left="345"/>
              <w:rPr>
                <w:rFonts w:ascii="Arial" w:hAnsi="Arial" w:cs="Arial"/>
                <w:b/>
                <w:bCs/>
                <w:sz w:val="20"/>
                <w:szCs w:val="20"/>
              </w:rPr>
            </w:pPr>
            <w:r>
              <w:rPr>
                <w:rFonts w:ascii="Arial" w:hAnsi="Arial" w:cs="Arial"/>
                <w:b/>
                <w:bCs/>
                <w:sz w:val="20"/>
                <w:szCs w:val="20"/>
              </w:rPr>
              <w:lastRenderedPageBreak/>
              <w:t>A detailed list of additional UpToDate unique features are as follows:</w:t>
            </w:r>
          </w:p>
          <w:p w14:paraId="7532278B" w14:textId="6F1E11B0" w:rsidR="00494578" w:rsidRPr="00494578" w:rsidRDefault="00C43604" w:rsidP="00CE585A">
            <w:pPr>
              <w:spacing w:before="60" w:after="60"/>
              <w:ind w:left="345"/>
              <w:rPr>
                <w:rFonts w:ascii="Times New Roman" w:hAnsi="Times New Roman" w:cs="Times New Roman"/>
                <w:b/>
                <w:bCs/>
                <w:sz w:val="24"/>
                <w:szCs w:val="24"/>
              </w:rPr>
            </w:pPr>
            <w:r>
              <w:rPr>
                <w:noProof/>
              </w:rPr>
              <w:drawing>
                <wp:inline distT="0" distB="0" distL="0" distR="0" wp14:anchorId="7EC4741F" wp14:editId="0931F2C1">
                  <wp:extent cx="5124659" cy="3067203"/>
                  <wp:effectExtent l="0" t="0" r="0" b="0"/>
                  <wp:docPr id="162162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33444" cy="3072461"/>
                          </a:xfrm>
                          <a:prstGeom prst="rect">
                            <a:avLst/>
                          </a:prstGeom>
                          <a:noFill/>
                          <a:ln>
                            <a:noFill/>
                          </a:ln>
                        </pic:spPr>
                      </pic:pic>
                    </a:graphicData>
                  </a:graphic>
                </wp:inline>
              </w:drawing>
            </w:r>
          </w:p>
        </w:tc>
      </w:tr>
      <w:tr w:rsidR="001C7FF7" w14:paraId="5BB89F99" w14:textId="77777777" w:rsidTr="00AD2C44">
        <w:trPr>
          <w:trHeight w:val="3226"/>
        </w:trPr>
        <w:tc>
          <w:tcPr>
            <w:tcW w:w="10887" w:type="dxa"/>
            <w:gridSpan w:val="5"/>
          </w:tcPr>
          <w:p w14:paraId="1E82D9E2" w14:textId="77777777" w:rsidR="001C7FF7" w:rsidRPr="00705734" w:rsidRDefault="001C7FF7" w:rsidP="00230F11">
            <w:pPr>
              <w:pStyle w:val="NormalWeb"/>
              <w:numPr>
                <w:ilvl w:val="0"/>
                <w:numId w:val="1"/>
              </w:numPr>
              <w:spacing w:before="0" w:beforeAutospacing="0" w:after="0" w:afterAutospacing="0"/>
              <w:ind w:left="340" w:hanging="340"/>
              <w:rPr>
                <w:rFonts w:ascii="Arial" w:hAnsi="Arial" w:cs="Arial"/>
                <w:color w:val="000000"/>
                <w:sz w:val="20"/>
                <w:szCs w:val="20"/>
              </w:rPr>
            </w:pPr>
            <w:r w:rsidRPr="00272746">
              <w:rPr>
                <w:rFonts w:ascii="Arial" w:hAnsi="Arial" w:cs="Arial"/>
                <w:sz w:val="20"/>
                <w:szCs w:val="20"/>
                <w:u w:val="single"/>
              </w:rPr>
              <w:lastRenderedPageBreak/>
              <w:t>What kind of market research</w:t>
            </w:r>
            <w:r w:rsidRPr="00272746">
              <w:rPr>
                <w:rFonts w:ascii="Arial" w:hAnsi="Arial" w:cs="Arial"/>
                <w:sz w:val="20"/>
                <w:szCs w:val="20"/>
              </w:rPr>
              <w:t xml:space="preserve"> did the agency conduct to conclude that alternative sources were inappropriate or unavailable? </w:t>
            </w:r>
            <w:r>
              <w:rPr>
                <w:rFonts w:ascii="Arial" w:hAnsi="Arial" w:cs="Arial"/>
                <w:sz w:val="20"/>
                <w:szCs w:val="20"/>
              </w:rPr>
              <w:t xml:space="preserve"> </w:t>
            </w:r>
            <w:r w:rsidRPr="00272746">
              <w:rPr>
                <w:rFonts w:ascii="Arial" w:hAnsi="Arial" w:cs="Arial"/>
                <w:color w:val="000000"/>
                <w:sz w:val="20"/>
                <w:szCs w:val="20"/>
              </w:rPr>
              <w:t xml:space="preserve">Provide a narrative description of the agency’s due diligence in determining the basis for the sole source </w:t>
            </w:r>
            <w:r>
              <w:rPr>
                <w:rFonts w:ascii="Arial" w:hAnsi="Arial" w:cs="Arial"/>
                <w:color w:val="000000"/>
                <w:sz w:val="20"/>
                <w:szCs w:val="20"/>
              </w:rPr>
              <w:t>filing</w:t>
            </w:r>
            <w:r w:rsidRPr="00272746">
              <w:rPr>
                <w:rFonts w:ascii="Arial" w:hAnsi="Arial" w:cs="Arial"/>
                <w:color w:val="000000"/>
                <w:sz w:val="20"/>
                <w:szCs w:val="20"/>
              </w:rPr>
              <w:t xml:space="preserve">, including methods used by the agency to conduct a review of available sources such as researching trade publications, industry newsletters and the internet; contacting similar service providers; and reviewing statewide pricing trends and/or agreements. </w:t>
            </w:r>
            <w:r>
              <w:rPr>
                <w:rFonts w:ascii="Arial" w:hAnsi="Arial" w:cs="Arial"/>
                <w:color w:val="000000"/>
                <w:sz w:val="20"/>
                <w:szCs w:val="20"/>
              </w:rPr>
              <w:t xml:space="preserve"> </w:t>
            </w:r>
            <w:r w:rsidRPr="00272746">
              <w:rPr>
                <w:rFonts w:ascii="Arial" w:hAnsi="Arial" w:cs="Arial"/>
                <w:color w:val="000000"/>
                <w:sz w:val="20"/>
                <w:szCs w:val="20"/>
              </w:rPr>
              <w:t xml:space="preserve">Include a list of businesses contacted (if you state that no other businesses were contacted, explain why not), date of contact, method of contact (telephone, mail, e-mail, other), and documentation demonstrating an explanation of why those businesses could not or would not, under any circumstances, </w:t>
            </w:r>
            <w:r>
              <w:rPr>
                <w:rFonts w:ascii="Arial" w:hAnsi="Arial" w:cs="Arial"/>
                <w:color w:val="000000"/>
                <w:sz w:val="20"/>
                <w:szCs w:val="20"/>
              </w:rPr>
              <w:t>fulfill the procurement</w:t>
            </w:r>
            <w:r w:rsidRPr="00272746">
              <w:rPr>
                <w:rFonts w:ascii="Arial" w:hAnsi="Arial" w:cs="Arial"/>
                <w:color w:val="000000"/>
                <w:sz w:val="20"/>
                <w:szCs w:val="20"/>
              </w:rPr>
              <w:t xml:space="preserve">; or an explanation of why the agency has determined that no businesses other than the prospective </w:t>
            </w:r>
            <w:r>
              <w:rPr>
                <w:rFonts w:ascii="Arial" w:hAnsi="Arial" w:cs="Arial"/>
                <w:color w:val="000000"/>
                <w:sz w:val="20"/>
                <w:szCs w:val="20"/>
              </w:rPr>
              <w:t>vendor</w:t>
            </w:r>
            <w:r w:rsidRPr="00272746">
              <w:rPr>
                <w:rFonts w:ascii="Arial" w:hAnsi="Arial" w:cs="Arial"/>
                <w:color w:val="000000"/>
                <w:sz w:val="20"/>
                <w:szCs w:val="20"/>
              </w:rPr>
              <w:t xml:space="preserve"> can </w:t>
            </w:r>
            <w:r>
              <w:rPr>
                <w:rFonts w:ascii="Arial" w:hAnsi="Arial" w:cs="Arial"/>
                <w:color w:val="000000"/>
                <w:sz w:val="20"/>
                <w:szCs w:val="20"/>
              </w:rPr>
              <w:t xml:space="preserve">provide or </w:t>
            </w:r>
            <w:r w:rsidRPr="00272746">
              <w:rPr>
                <w:rFonts w:ascii="Arial" w:hAnsi="Arial" w:cs="Arial"/>
                <w:color w:val="000000"/>
                <w:sz w:val="20"/>
                <w:szCs w:val="20"/>
              </w:rPr>
              <w:t xml:space="preserve">perform </w:t>
            </w:r>
            <w:r>
              <w:rPr>
                <w:rFonts w:ascii="Arial" w:hAnsi="Arial" w:cs="Arial"/>
                <w:color w:val="000000"/>
                <w:sz w:val="20"/>
                <w:szCs w:val="20"/>
              </w:rPr>
              <w:t>the goods and/or services needed</w:t>
            </w:r>
            <w:r w:rsidRPr="00272746">
              <w:rPr>
                <w:rFonts w:ascii="Arial" w:hAnsi="Arial" w:cs="Arial"/>
                <w:sz w:val="20"/>
                <w:szCs w:val="20"/>
              </w:rPr>
              <w:t>.</w:t>
            </w:r>
          </w:p>
          <w:p w14:paraId="074ABF15" w14:textId="77777777" w:rsidR="00705734" w:rsidRPr="00272746" w:rsidRDefault="00705734" w:rsidP="00705734">
            <w:pPr>
              <w:pStyle w:val="NormalWeb"/>
              <w:spacing w:before="0" w:beforeAutospacing="0" w:after="0" w:afterAutospacing="0"/>
              <w:ind w:left="340"/>
              <w:rPr>
                <w:rFonts w:ascii="Arial" w:hAnsi="Arial" w:cs="Arial"/>
                <w:color w:val="000000"/>
                <w:sz w:val="20"/>
                <w:szCs w:val="20"/>
              </w:rPr>
            </w:pPr>
          </w:p>
          <w:p w14:paraId="1DFE9B97" w14:textId="6B1B371E" w:rsidR="00C43604" w:rsidRDefault="00C43604" w:rsidP="009416A8">
            <w:pPr>
              <w:pStyle w:val="ListParagraph"/>
              <w:spacing w:before="60" w:after="60"/>
              <w:ind w:left="345"/>
              <w:rPr>
                <w:rFonts w:ascii="Arial" w:hAnsi="Arial" w:cs="Arial"/>
                <w:b/>
                <w:bCs/>
                <w:sz w:val="20"/>
                <w:szCs w:val="20"/>
              </w:rPr>
            </w:pPr>
            <w:r>
              <w:rPr>
                <w:rFonts w:ascii="Arial" w:hAnsi="Arial" w:cs="Arial"/>
                <w:b/>
                <w:bCs/>
                <w:sz w:val="20"/>
                <w:szCs w:val="20"/>
              </w:rPr>
              <w:t>UpToDate is the only system that provides more than 12,000 evidence-based clinical topic</w:t>
            </w:r>
            <w:r w:rsidR="008E6CF8">
              <w:rPr>
                <w:rFonts w:ascii="Arial" w:hAnsi="Arial" w:cs="Arial"/>
                <w:b/>
                <w:bCs/>
                <w:sz w:val="20"/>
                <w:szCs w:val="20"/>
              </w:rPr>
              <w:t>s</w:t>
            </w:r>
            <w:r>
              <w:rPr>
                <w:rFonts w:ascii="Arial" w:hAnsi="Arial" w:cs="Arial"/>
                <w:b/>
                <w:bCs/>
                <w:sz w:val="20"/>
                <w:szCs w:val="20"/>
              </w:rPr>
              <w:t xml:space="preserve"> across 25 robust clinical specialties as stated in the attached sole source letter received from UpToDate.  In addition, i</w:t>
            </w:r>
            <w:r w:rsidRPr="00AD2C44">
              <w:rPr>
                <w:rFonts w:ascii="Arial" w:hAnsi="Arial" w:cs="Arial"/>
                <w:b/>
                <w:bCs/>
                <w:sz w:val="20"/>
                <w:szCs w:val="20"/>
              </w:rPr>
              <w:t xml:space="preserve">ndustry </w:t>
            </w:r>
            <w:r>
              <w:rPr>
                <w:rFonts w:ascii="Arial" w:hAnsi="Arial" w:cs="Arial"/>
                <w:b/>
                <w:bCs/>
                <w:sz w:val="20"/>
                <w:szCs w:val="20"/>
              </w:rPr>
              <w:t xml:space="preserve">market </w:t>
            </w:r>
            <w:r w:rsidR="0068712F" w:rsidRPr="00AD2C44">
              <w:rPr>
                <w:rFonts w:ascii="Arial" w:hAnsi="Arial" w:cs="Arial"/>
                <w:b/>
                <w:bCs/>
                <w:sz w:val="20"/>
                <w:szCs w:val="20"/>
              </w:rPr>
              <w:t>research for alternatives (via interne</w:t>
            </w:r>
            <w:r w:rsidR="00EB6CE0" w:rsidRPr="00AD2C44">
              <w:rPr>
                <w:rFonts w:ascii="Arial" w:hAnsi="Arial" w:cs="Arial"/>
                <w:b/>
                <w:bCs/>
                <w:sz w:val="20"/>
                <w:szCs w:val="20"/>
              </w:rPr>
              <w:t xml:space="preserve">t </w:t>
            </w:r>
            <w:r w:rsidR="00C857E0" w:rsidRPr="00AD2C44">
              <w:rPr>
                <w:rFonts w:ascii="Arial" w:hAnsi="Arial" w:cs="Arial"/>
                <w:b/>
                <w:bCs/>
                <w:sz w:val="20"/>
                <w:szCs w:val="20"/>
              </w:rPr>
              <w:t xml:space="preserve">publications and </w:t>
            </w:r>
            <w:r w:rsidR="0068712F" w:rsidRPr="00AD2C44">
              <w:rPr>
                <w:rFonts w:ascii="Arial" w:hAnsi="Arial" w:cs="Arial"/>
                <w:b/>
                <w:bCs/>
                <w:sz w:val="20"/>
                <w:szCs w:val="20"/>
              </w:rPr>
              <w:t xml:space="preserve">forums) found that no other database provides the </w:t>
            </w:r>
            <w:r w:rsidR="00EB6CE0" w:rsidRPr="00AD2C44">
              <w:rPr>
                <w:rFonts w:ascii="Arial" w:hAnsi="Arial" w:cs="Arial"/>
                <w:b/>
                <w:bCs/>
                <w:sz w:val="20"/>
                <w:szCs w:val="20"/>
              </w:rPr>
              <w:t>volume of content</w:t>
            </w:r>
            <w:r w:rsidR="0068712F" w:rsidRPr="00AD2C44">
              <w:rPr>
                <w:rFonts w:ascii="Arial" w:hAnsi="Arial" w:cs="Arial"/>
                <w:b/>
                <w:bCs/>
                <w:sz w:val="20"/>
                <w:szCs w:val="20"/>
              </w:rPr>
              <w:t xml:space="preserve"> that </w:t>
            </w:r>
            <w:r>
              <w:rPr>
                <w:rFonts w:ascii="Arial" w:hAnsi="Arial" w:cs="Arial"/>
                <w:b/>
                <w:bCs/>
                <w:sz w:val="20"/>
                <w:szCs w:val="20"/>
              </w:rPr>
              <w:t xml:space="preserve">UpToDate </w:t>
            </w:r>
            <w:r w:rsidR="0068712F" w:rsidRPr="00AD2C44">
              <w:rPr>
                <w:rFonts w:ascii="Arial" w:hAnsi="Arial" w:cs="Arial"/>
                <w:b/>
                <w:bCs/>
                <w:sz w:val="20"/>
                <w:szCs w:val="20"/>
              </w:rPr>
              <w:t xml:space="preserve">offers.  </w:t>
            </w:r>
            <w:r>
              <w:rPr>
                <w:rFonts w:ascii="Arial" w:hAnsi="Arial" w:cs="Arial"/>
                <w:b/>
                <w:bCs/>
                <w:sz w:val="20"/>
                <w:szCs w:val="20"/>
              </w:rPr>
              <w:t xml:space="preserve">Vendors analyzed for comprehensive clinical decision support systems included </w:t>
            </w:r>
            <w:r w:rsidR="00C857E0" w:rsidRPr="00AD2C44">
              <w:rPr>
                <w:rFonts w:ascii="Arial" w:hAnsi="Arial" w:cs="Arial"/>
                <w:b/>
                <w:bCs/>
                <w:sz w:val="20"/>
                <w:szCs w:val="20"/>
              </w:rPr>
              <w:t xml:space="preserve">Epocrates, </w:t>
            </w:r>
            <w:r>
              <w:rPr>
                <w:rFonts w:ascii="Arial" w:hAnsi="Arial" w:cs="Arial"/>
                <w:b/>
                <w:bCs/>
                <w:sz w:val="20"/>
                <w:szCs w:val="20"/>
              </w:rPr>
              <w:t>Andor</w:t>
            </w:r>
            <w:r w:rsidR="006C5B1F" w:rsidRPr="00AD2C44">
              <w:rPr>
                <w:rFonts w:ascii="Arial" w:hAnsi="Arial" w:cs="Arial"/>
                <w:b/>
                <w:bCs/>
                <w:sz w:val="20"/>
                <w:szCs w:val="20"/>
              </w:rPr>
              <w:t xml:space="preserve">, </w:t>
            </w:r>
            <w:r>
              <w:rPr>
                <w:rFonts w:ascii="Arial" w:hAnsi="Arial" w:cs="Arial"/>
                <w:b/>
                <w:bCs/>
                <w:sz w:val="20"/>
                <w:szCs w:val="20"/>
              </w:rPr>
              <w:t xml:space="preserve">Dynamic Health, and Verana Health, which </w:t>
            </w:r>
            <w:r w:rsidR="0068712F" w:rsidRPr="00AD2C44">
              <w:rPr>
                <w:rFonts w:ascii="Arial" w:hAnsi="Arial" w:cs="Arial"/>
                <w:b/>
                <w:bCs/>
                <w:sz w:val="20"/>
                <w:szCs w:val="20"/>
              </w:rPr>
              <w:t>do not offer in-depth editorials</w:t>
            </w:r>
            <w:r w:rsidR="00EB6CE0" w:rsidRPr="00AD2C44">
              <w:rPr>
                <w:rFonts w:ascii="Arial" w:hAnsi="Arial" w:cs="Arial"/>
                <w:b/>
                <w:bCs/>
                <w:sz w:val="20"/>
                <w:szCs w:val="20"/>
              </w:rPr>
              <w:t xml:space="preserve">, are geared more toward outpatient care, and/or do not have </w:t>
            </w:r>
            <w:r w:rsidR="0068712F" w:rsidRPr="00AD2C44">
              <w:rPr>
                <w:rFonts w:ascii="Arial" w:hAnsi="Arial" w:cs="Arial"/>
                <w:b/>
                <w:bCs/>
                <w:sz w:val="20"/>
                <w:szCs w:val="20"/>
              </w:rPr>
              <w:t>the expansive library of topics</w:t>
            </w:r>
            <w:r w:rsidR="00EB6CE0" w:rsidRPr="00AD2C44">
              <w:rPr>
                <w:rFonts w:ascii="Arial" w:hAnsi="Arial" w:cs="Arial"/>
                <w:b/>
                <w:bCs/>
                <w:sz w:val="20"/>
                <w:szCs w:val="20"/>
              </w:rPr>
              <w:t xml:space="preserve">.  </w:t>
            </w:r>
            <w:r>
              <w:rPr>
                <w:rFonts w:ascii="Arial" w:hAnsi="Arial" w:cs="Arial"/>
                <w:b/>
                <w:bCs/>
                <w:sz w:val="20"/>
                <w:szCs w:val="20"/>
              </w:rPr>
              <w:t>A snip-it of additional market research of clinical decision support data evaluated is provided below:</w:t>
            </w:r>
          </w:p>
          <w:p w14:paraId="4638E540" w14:textId="77777777" w:rsidR="00C43604" w:rsidRDefault="00C43604" w:rsidP="007F4AA3">
            <w:pPr>
              <w:spacing w:before="60" w:after="60"/>
              <w:ind w:left="345"/>
              <w:rPr>
                <w:rFonts w:ascii="Arial" w:hAnsi="Arial" w:cs="Arial"/>
                <w:b/>
                <w:bCs/>
                <w:sz w:val="20"/>
                <w:szCs w:val="20"/>
              </w:rPr>
            </w:pPr>
          </w:p>
          <w:p w14:paraId="25CF390F" w14:textId="523B6C77" w:rsidR="00C43604" w:rsidRDefault="00C43604" w:rsidP="007F4AA3">
            <w:pPr>
              <w:spacing w:before="60" w:after="60"/>
              <w:ind w:left="345"/>
              <w:rPr>
                <w:rFonts w:ascii="Arial" w:hAnsi="Arial" w:cs="Arial"/>
                <w:b/>
                <w:bCs/>
                <w:sz w:val="20"/>
                <w:szCs w:val="20"/>
              </w:rPr>
            </w:pPr>
            <w:r>
              <w:rPr>
                <w:noProof/>
              </w:rPr>
              <w:drawing>
                <wp:inline distT="0" distB="0" distL="0" distR="0" wp14:anchorId="608A822A" wp14:editId="67B30C05">
                  <wp:extent cx="3527095" cy="1291213"/>
                  <wp:effectExtent l="0" t="0" r="0" b="4445"/>
                  <wp:docPr id="1902325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545865" cy="1298084"/>
                          </a:xfrm>
                          <a:prstGeom prst="rect">
                            <a:avLst/>
                          </a:prstGeom>
                          <a:noFill/>
                          <a:ln>
                            <a:noFill/>
                          </a:ln>
                        </pic:spPr>
                      </pic:pic>
                    </a:graphicData>
                  </a:graphic>
                </wp:inline>
              </w:drawing>
            </w:r>
          </w:p>
          <w:p w14:paraId="06B25574" w14:textId="77777777" w:rsidR="00C43604" w:rsidRDefault="00C43604" w:rsidP="007F4AA3">
            <w:pPr>
              <w:spacing w:before="60" w:after="60"/>
              <w:ind w:left="345"/>
              <w:rPr>
                <w:rFonts w:ascii="Arial" w:hAnsi="Arial" w:cs="Arial"/>
                <w:b/>
                <w:bCs/>
                <w:sz w:val="20"/>
                <w:szCs w:val="20"/>
              </w:rPr>
            </w:pPr>
          </w:p>
          <w:p w14:paraId="6BF4D71B" w14:textId="543040FA" w:rsidR="00C43604" w:rsidRDefault="00C43604" w:rsidP="007F4AA3">
            <w:pPr>
              <w:spacing w:before="60" w:after="60"/>
              <w:ind w:left="345"/>
              <w:rPr>
                <w:rFonts w:ascii="Arial" w:hAnsi="Arial" w:cs="Arial"/>
                <w:b/>
                <w:bCs/>
                <w:sz w:val="20"/>
                <w:szCs w:val="20"/>
              </w:rPr>
            </w:pPr>
            <w:r>
              <w:rPr>
                <w:noProof/>
              </w:rPr>
              <w:lastRenderedPageBreak/>
              <w:drawing>
                <wp:inline distT="0" distB="0" distL="0" distR="0" wp14:anchorId="349134D2" wp14:editId="64631362">
                  <wp:extent cx="3525028" cy="1326382"/>
                  <wp:effectExtent l="0" t="0" r="0" b="7620"/>
                  <wp:docPr id="8161712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553393" cy="1337055"/>
                          </a:xfrm>
                          <a:prstGeom prst="rect">
                            <a:avLst/>
                          </a:prstGeom>
                          <a:noFill/>
                          <a:ln>
                            <a:noFill/>
                          </a:ln>
                        </pic:spPr>
                      </pic:pic>
                    </a:graphicData>
                  </a:graphic>
                </wp:inline>
              </w:drawing>
            </w:r>
          </w:p>
          <w:p w14:paraId="6940592D" w14:textId="77777777" w:rsidR="00C43604" w:rsidRDefault="00C43604" w:rsidP="007F4AA3">
            <w:pPr>
              <w:spacing w:before="60" w:after="60"/>
              <w:ind w:left="345"/>
              <w:rPr>
                <w:rFonts w:ascii="Arial" w:hAnsi="Arial" w:cs="Arial"/>
                <w:b/>
                <w:bCs/>
                <w:sz w:val="20"/>
                <w:szCs w:val="20"/>
              </w:rPr>
            </w:pPr>
          </w:p>
          <w:p w14:paraId="5E4D847D" w14:textId="201A3E18" w:rsidR="00C43604" w:rsidRDefault="00C43604" w:rsidP="007F4AA3">
            <w:pPr>
              <w:spacing w:before="60" w:after="60"/>
              <w:ind w:left="345"/>
              <w:rPr>
                <w:rFonts w:ascii="Arial" w:hAnsi="Arial" w:cs="Arial"/>
                <w:b/>
                <w:bCs/>
                <w:sz w:val="20"/>
                <w:szCs w:val="20"/>
              </w:rPr>
            </w:pPr>
            <w:r>
              <w:rPr>
                <w:noProof/>
              </w:rPr>
              <w:drawing>
                <wp:inline distT="0" distB="0" distL="0" distR="0" wp14:anchorId="05FC5C29" wp14:editId="521C99ED">
                  <wp:extent cx="3524885" cy="1314129"/>
                  <wp:effectExtent l="0" t="0" r="0" b="635"/>
                  <wp:docPr id="1311889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541103" cy="1320175"/>
                          </a:xfrm>
                          <a:prstGeom prst="rect">
                            <a:avLst/>
                          </a:prstGeom>
                          <a:noFill/>
                          <a:ln>
                            <a:noFill/>
                          </a:ln>
                        </pic:spPr>
                      </pic:pic>
                    </a:graphicData>
                  </a:graphic>
                </wp:inline>
              </w:drawing>
            </w:r>
          </w:p>
          <w:p w14:paraId="34A6DDA1" w14:textId="77777777" w:rsidR="00C43604" w:rsidRDefault="00C43604" w:rsidP="007F4AA3">
            <w:pPr>
              <w:spacing w:before="60" w:after="60"/>
              <w:ind w:left="345"/>
              <w:rPr>
                <w:rFonts w:ascii="Arial" w:hAnsi="Arial" w:cs="Arial"/>
                <w:b/>
                <w:bCs/>
                <w:sz w:val="20"/>
                <w:szCs w:val="20"/>
              </w:rPr>
            </w:pPr>
          </w:p>
          <w:p w14:paraId="2619006D" w14:textId="56500B99" w:rsidR="00C43604" w:rsidRDefault="00C43604" w:rsidP="007F4AA3">
            <w:pPr>
              <w:spacing w:before="60" w:after="60"/>
              <w:ind w:left="345"/>
              <w:rPr>
                <w:rFonts w:ascii="Arial" w:hAnsi="Arial" w:cs="Arial"/>
                <w:b/>
                <w:bCs/>
                <w:sz w:val="20"/>
                <w:szCs w:val="20"/>
              </w:rPr>
            </w:pPr>
            <w:r>
              <w:rPr>
                <w:noProof/>
              </w:rPr>
              <w:drawing>
                <wp:inline distT="0" distB="0" distL="0" distR="0" wp14:anchorId="68930D98" wp14:editId="54917E7A">
                  <wp:extent cx="3634680" cy="1376150"/>
                  <wp:effectExtent l="0" t="0" r="4445" b="0"/>
                  <wp:docPr id="1034138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657961" cy="1384964"/>
                          </a:xfrm>
                          <a:prstGeom prst="rect">
                            <a:avLst/>
                          </a:prstGeom>
                          <a:noFill/>
                          <a:ln>
                            <a:noFill/>
                          </a:ln>
                        </pic:spPr>
                      </pic:pic>
                    </a:graphicData>
                  </a:graphic>
                </wp:inline>
              </w:drawing>
            </w:r>
          </w:p>
          <w:p w14:paraId="44C314F5" w14:textId="36BA477D" w:rsidR="001C7FF7" w:rsidRDefault="001C7FF7" w:rsidP="00CE585A">
            <w:pPr>
              <w:spacing w:before="60" w:after="60"/>
              <w:rPr>
                <w:rFonts w:ascii="Arial" w:hAnsi="Arial" w:cs="Arial"/>
                <w:b/>
                <w:bCs/>
                <w:sz w:val="20"/>
                <w:szCs w:val="20"/>
              </w:rPr>
            </w:pPr>
          </w:p>
          <w:p w14:paraId="03983914" w14:textId="0E1E63A0" w:rsidR="009416A8" w:rsidRDefault="009416A8" w:rsidP="009416A8">
            <w:pPr>
              <w:pStyle w:val="NormalWeb"/>
              <w:spacing w:before="0" w:beforeAutospacing="0" w:after="0" w:afterAutospacing="0"/>
              <w:ind w:left="340"/>
              <w:rPr>
                <w:b/>
                <w:bCs/>
              </w:rPr>
            </w:pPr>
            <w:r>
              <w:rPr>
                <w:b/>
                <w:bCs/>
              </w:rPr>
              <w:t xml:space="preserve">In addition, UpToDate </w:t>
            </w:r>
            <w:r w:rsidR="00987262">
              <w:rPr>
                <w:b/>
                <w:bCs/>
              </w:rPr>
              <w:t xml:space="preserve">integrates </w:t>
            </w:r>
            <w:r>
              <w:rPr>
                <w:b/>
                <w:bCs/>
              </w:rPr>
              <w:t>seamlessly with LexiDrug, a separate system that the BHHA Facilities also use.  These two systems interface with each other, ensuring clinical consistency of care.  Another vendor would not under any circumstances be able to provide this seamless interaction as these products are proprietary and are unable to interact with another vendor.  See attached Sole Source Letter.</w:t>
            </w:r>
          </w:p>
          <w:p w14:paraId="1CED6E99" w14:textId="1751BBBD" w:rsidR="009416A8" w:rsidRPr="0068712F" w:rsidRDefault="009416A8" w:rsidP="007F4AA3">
            <w:pPr>
              <w:spacing w:before="60" w:after="60"/>
              <w:ind w:left="345"/>
              <w:rPr>
                <w:rFonts w:ascii="Times New Roman" w:hAnsi="Times New Roman" w:cs="Times New Roman"/>
                <w:b/>
                <w:bCs/>
                <w:sz w:val="24"/>
                <w:szCs w:val="24"/>
              </w:rPr>
            </w:pPr>
          </w:p>
        </w:tc>
      </w:tr>
      <w:tr w:rsidR="001C7FF7" w14:paraId="04249E03" w14:textId="77777777" w:rsidTr="00AD2C44">
        <w:trPr>
          <w:trHeight w:val="2092"/>
        </w:trPr>
        <w:tc>
          <w:tcPr>
            <w:tcW w:w="10887" w:type="dxa"/>
            <w:gridSpan w:val="5"/>
          </w:tcPr>
          <w:p w14:paraId="54CF9D61" w14:textId="77777777" w:rsidR="001C7FF7" w:rsidRDefault="001C7FF7" w:rsidP="00230F11">
            <w:pPr>
              <w:pStyle w:val="ListParagraph"/>
              <w:numPr>
                <w:ilvl w:val="0"/>
                <w:numId w:val="1"/>
              </w:numPr>
              <w:spacing w:before="60" w:after="60" w:line="276" w:lineRule="auto"/>
              <w:ind w:left="345"/>
              <w:rPr>
                <w:rFonts w:ascii="Arial" w:hAnsi="Arial" w:cs="Arial"/>
                <w:sz w:val="20"/>
                <w:szCs w:val="20"/>
              </w:rPr>
            </w:pPr>
            <w:r w:rsidRPr="00ED05E8">
              <w:rPr>
                <w:rFonts w:ascii="Arial" w:hAnsi="Arial" w:cs="Arial"/>
                <w:sz w:val="20"/>
                <w:szCs w:val="20"/>
                <w:u w:val="single"/>
              </w:rPr>
              <w:lastRenderedPageBreak/>
              <w:t>What considerations were given to</w:t>
            </w:r>
            <w:r w:rsidRPr="00701939">
              <w:rPr>
                <w:rFonts w:ascii="Arial" w:hAnsi="Arial" w:cs="Arial"/>
                <w:sz w:val="20"/>
                <w:szCs w:val="20"/>
                <w:u w:val="single"/>
              </w:rPr>
              <w:t xml:space="preserve"> unbundling the goods and/or services in this </w:t>
            </w:r>
            <w:r>
              <w:rPr>
                <w:rFonts w:ascii="Arial" w:hAnsi="Arial" w:cs="Arial"/>
                <w:sz w:val="20"/>
                <w:szCs w:val="20"/>
                <w:u w:val="single"/>
              </w:rPr>
              <w:t>procurement</w:t>
            </w:r>
            <w:r>
              <w:rPr>
                <w:rFonts w:ascii="Arial" w:hAnsi="Arial" w:cs="Arial"/>
                <w:sz w:val="20"/>
                <w:szCs w:val="20"/>
              </w:rPr>
              <w:t>, which would provide opportunities for Washington small, diverse, and/or veteran-owned businesses.  Provide a summary of your agency’s unbundling analysis for this procurement.</w:t>
            </w:r>
          </w:p>
          <w:p w14:paraId="0A231D24" w14:textId="77777777" w:rsidR="006C5B1F" w:rsidRDefault="006C5B1F" w:rsidP="006C5B1F">
            <w:pPr>
              <w:pStyle w:val="ListParagraph"/>
              <w:spacing w:before="60" w:after="60" w:line="276" w:lineRule="auto"/>
              <w:ind w:left="345"/>
              <w:rPr>
                <w:rFonts w:ascii="Arial" w:hAnsi="Arial" w:cs="Arial"/>
                <w:sz w:val="20"/>
                <w:szCs w:val="20"/>
              </w:rPr>
            </w:pPr>
          </w:p>
          <w:p w14:paraId="3BD56230" w14:textId="1734E1B6" w:rsidR="001C7FF7" w:rsidRPr="00AD2C44" w:rsidRDefault="006C5B1F" w:rsidP="00230F11">
            <w:pPr>
              <w:pStyle w:val="NormalWeb"/>
              <w:spacing w:before="0" w:beforeAutospacing="0" w:after="0" w:afterAutospacing="0"/>
              <w:ind w:left="340"/>
              <w:rPr>
                <w:rFonts w:ascii="Arial" w:hAnsi="Arial" w:cs="Arial"/>
                <w:b/>
                <w:bCs/>
                <w:sz w:val="20"/>
                <w:szCs w:val="20"/>
                <w:u w:val="single"/>
              </w:rPr>
            </w:pPr>
            <w:r w:rsidRPr="00AD2C44">
              <w:rPr>
                <w:rFonts w:ascii="Arial" w:hAnsi="Arial" w:cs="Arial"/>
                <w:b/>
                <w:bCs/>
                <w:sz w:val="20"/>
                <w:szCs w:val="20"/>
              </w:rPr>
              <w:t>BHHA</w:t>
            </w:r>
            <w:r w:rsidR="00944CFE" w:rsidRPr="00AD2C44">
              <w:rPr>
                <w:rFonts w:ascii="Arial" w:hAnsi="Arial" w:cs="Arial"/>
                <w:b/>
                <w:bCs/>
                <w:sz w:val="20"/>
                <w:szCs w:val="20"/>
              </w:rPr>
              <w:t xml:space="preserve"> was unable to locate any vendors listed as small, diverse, and/or veteran-owned when searching on WEBS and OMWBE.  Being unable to find small and/or diversified suppliers </w:t>
            </w:r>
            <w:r w:rsidR="00542A2F">
              <w:rPr>
                <w:rFonts w:ascii="Arial" w:hAnsi="Arial" w:cs="Arial"/>
                <w:b/>
                <w:bCs/>
                <w:sz w:val="20"/>
                <w:szCs w:val="20"/>
              </w:rPr>
              <w:t>inhibited</w:t>
            </w:r>
            <w:r w:rsidR="00944CFE" w:rsidRPr="00AD2C44">
              <w:rPr>
                <w:rFonts w:ascii="Arial" w:hAnsi="Arial" w:cs="Arial"/>
                <w:b/>
                <w:bCs/>
                <w:sz w:val="20"/>
                <w:szCs w:val="20"/>
              </w:rPr>
              <w:t xml:space="preserve"> the possibility of unbundling.</w:t>
            </w:r>
          </w:p>
        </w:tc>
      </w:tr>
      <w:tr w:rsidR="001C7FF7" w14:paraId="599E8A51" w14:textId="77777777" w:rsidTr="00CE585A">
        <w:trPr>
          <w:trHeight w:val="2785"/>
        </w:trPr>
        <w:tc>
          <w:tcPr>
            <w:tcW w:w="10887" w:type="dxa"/>
            <w:gridSpan w:val="5"/>
          </w:tcPr>
          <w:p w14:paraId="0BCE9303" w14:textId="77777777" w:rsidR="001C7FF7" w:rsidRDefault="001C7FF7" w:rsidP="00230F11">
            <w:pPr>
              <w:pStyle w:val="ListParagraph"/>
              <w:numPr>
                <w:ilvl w:val="0"/>
                <w:numId w:val="1"/>
              </w:numPr>
              <w:spacing w:before="60" w:after="60" w:line="276" w:lineRule="auto"/>
              <w:ind w:left="345"/>
              <w:rPr>
                <w:rFonts w:ascii="Arial" w:hAnsi="Arial" w:cs="Arial"/>
                <w:sz w:val="20"/>
                <w:szCs w:val="20"/>
              </w:rPr>
            </w:pPr>
            <w:r w:rsidRPr="000577F0">
              <w:rPr>
                <w:rFonts w:ascii="Arial" w:hAnsi="Arial" w:cs="Arial"/>
                <w:sz w:val="20"/>
                <w:szCs w:val="20"/>
              </w:rPr>
              <w:lastRenderedPageBreak/>
              <w:t xml:space="preserve">As part of the market research requirements, include a list of statewide contracts reviewed and/or businesses contacted, date of contact, method of contact (telephone, mail, e-mail, other), and documentation demonstrating an explanation of why those businesses could not or would not, under any circumstances, </w:t>
            </w:r>
            <w:r>
              <w:rPr>
                <w:rFonts w:ascii="Arial" w:hAnsi="Arial" w:cs="Arial"/>
                <w:color w:val="000000"/>
                <w:sz w:val="20"/>
                <w:szCs w:val="20"/>
              </w:rPr>
              <w:t>fulfill the procurement</w:t>
            </w:r>
            <w:r w:rsidRPr="00272746">
              <w:rPr>
                <w:rFonts w:ascii="Arial" w:hAnsi="Arial" w:cs="Arial"/>
                <w:color w:val="000000"/>
                <w:sz w:val="20"/>
                <w:szCs w:val="20"/>
              </w:rPr>
              <w:t xml:space="preserve">; or an explanation of why the agency has determined that no businesses other than the prospective </w:t>
            </w:r>
            <w:r>
              <w:rPr>
                <w:rFonts w:ascii="Arial" w:hAnsi="Arial" w:cs="Arial"/>
                <w:color w:val="000000"/>
                <w:sz w:val="20"/>
                <w:szCs w:val="20"/>
              </w:rPr>
              <w:t>vendor</w:t>
            </w:r>
            <w:r w:rsidRPr="00272746">
              <w:rPr>
                <w:rFonts w:ascii="Arial" w:hAnsi="Arial" w:cs="Arial"/>
                <w:color w:val="000000"/>
                <w:sz w:val="20"/>
                <w:szCs w:val="20"/>
              </w:rPr>
              <w:t xml:space="preserve"> can perform </w:t>
            </w:r>
            <w:r>
              <w:rPr>
                <w:rFonts w:ascii="Arial" w:hAnsi="Arial" w:cs="Arial"/>
                <w:color w:val="000000"/>
                <w:sz w:val="20"/>
                <w:szCs w:val="20"/>
              </w:rPr>
              <w:t>or provide the goods and/or services needed</w:t>
            </w:r>
            <w:r w:rsidRPr="00272746">
              <w:rPr>
                <w:rFonts w:ascii="Arial" w:hAnsi="Arial" w:cs="Arial"/>
                <w:sz w:val="20"/>
                <w:szCs w:val="20"/>
              </w:rPr>
              <w:t>.</w:t>
            </w:r>
          </w:p>
          <w:p w14:paraId="0EEA9D3B" w14:textId="145B299E" w:rsidR="001C7FF7" w:rsidRPr="006C5B1F" w:rsidRDefault="00586A99" w:rsidP="00230F11">
            <w:pPr>
              <w:pStyle w:val="NormalWeb"/>
              <w:spacing w:before="0" w:beforeAutospacing="0" w:after="0" w:afterAutospacing="0"/>
              <w:ind w:left="340"/>
              <w:rPr>
                <w:rFonts w:ascii="Arial" w:hAnsi="Arial" w:cs="Arial"/>
                <w:sz w:val="20"/>
                <w:szCs w:val="20"/>
                <w:u w:val="single"/>
              </w:rPr>
            </w:pPr>
            <w:r w:rsidRPr="006C5B1F">
              <w:rPr>
                <w:rFonts w:ascii="Arial" w:hAnsi="Arial" w:cs="Arial"/>
                <w:b/>
                <w:bCs/>
                <w:sz w:val="20"/>
                <w:szCs w:val="20"/>
              </w:rPr>
              <w:t>There are no DES statewide contracts available for this product.</w:t>
            </w:r>
          </w:p>
        </w:tc>
      </w:tr>
      <w:tr w:rsidR="001C7FF7" w14:paraId="28B70D33" w14:textId="77777777" w:rsidTr="00AD2C44">
        <w:trPr>
          <w:trHeight w:val="1800"/>
        </w:trPr>
        <w:tc>
          <w:tcPr>
            <w:tcW w:w="10887" w:type="dxa"/>
            <w:gridSpan w:val="5"/>
          </w:tcPr>
          <w:p w14:paraId="322D33DF" w14:textId="77777777" w:rsidR="001C7FF7" w:rsidRPr="00701939" w:rsidRDefault="001C7FF7" w:rsidP="00230F11">
            <w:pPr>
              <w:pStyle w:val="ListParagraph"/>
              <w:numPr>
                <w:ilvl w:val="0"/>
                <w:numId w:val="1"/>
              </w:numPr>
              <w:spacing w:before="60" w:after="60" w:line="276" w:lineRule="auto"/>
              <w:ind w:left="345"/>
              <w:rPr>
                <w:rFonts w:ascii="Arial" w:hAnsi="Arial" w:cs="Arial"/>
                <w:sz w:val="20"/>
                <w:szCs w:val="20"/>
                <w:u w:val="single"/>
              </w:rPr>
            </w:pPr>
            <w:r w:rsidRPr="00701939">
              <w:rPr>
                <w:rFonts w:ascii="Arial" w:hAnsi="Arial" w:cs="Arial"/>
                <w:sz w:val="20"/>
                <w:szCs w:val="20"/>
              </w:rPr>
              <w:t xml:space="preserve">Per the Supplier Diversity Policy, DES-090-06 and A.P. 13.27:  </w:t>
            </w:r>
            <w:r>
              <w:rPr>
                <w:rFonts w:ascii="Arial" w:hAnsi="Arial" w:cs="Arial"/>
                <w:sz w:val="20"/>
                <w:szCs w:val="20"/>
                <w:u w:val="single"/>
              </w:rPr>
              <w:t>Was this procurement included in the agency’s forecasted needs report</w:t>
            </w:r>
            <w:r w:rsidRPr="00701939">
              <w:rPr>
                <w:rFonts w:ascii="Arial" w:hAnsi="Arial" w:cs="Arial"/>
                <w:sz w:val="20"/>
                <w:szCs w:val="20"/>
              </w:rPr>
              <w:t>?</w:t>
            </w:r>
          </w:p>
          <w:p w14:paraId="0B2BC1D0" w14:textId="235561C0" w:rsidR="001C7FF7" w:rsidRPr="006C5B1F" w:rsidRDefault="009416A8" w:rsidP="00230F11">
            <w:pPr>
              <w:spacing w:before="60" w:after="60" w:line="276" w:lineRule="auto"/>
              <w:ind w:left="351"/>
              <w:rPr>
                <w:rFonts w:ascii="Arial" w:hAnsi="Arial" w:cs="Arial"/>
                <w:sz w:val="20"/>
                <w:szCs w:val="20"/>
                <w:u w:val="single"/>
              </w:rPr>
            </w:pPr>
            <w:r>
              <w:rPr>
                <w:rFonts w:ascii="Arial" w:hAnsi="Arial" w:cs="Arial"/>
                <w:b/>
                <w:bCs/>
                <w:sz w:val="20"/>
                <w:szCs w:val="20"/>
              </w:rPr>
              <w:t xml:space="preserve"> This item is tied to a PO, and was inadvertently not included on the 2026 contract forecast list.</w:t>
            </w:r>
          </w:p>
        </w:tc>
      </w:tr>
      <w:tr w:rsidR="001C7FF7" w14:paraId="3E29B63B" w14:textId="77777777" w:rsidTr="00AD2C44">
        <w:trPr>
          <w:trHeight w:val="1516"/>
        </w:trPr>
        <w:tc>
          <w:tcPr>
            <w:tcW w:w="10887" w:type="dxa"/>
            <w:gridSpan w:val="5"/>
          </w:tcPr>
          <w:p w14:paraId="11821FB1" w14:textId="77777777" w:rsidR="001C7FF7" w:rsidRDefault="001C7FF7" w:rsidP="00230F11">
            <w:pPr>
              <w:pStyle w:val="ListParagraph"/>
              <w:numPr>
                <w:ilvl w:val="0"/>
                <w:numId w:val="1"/>
              </w:numPr>
              <w:spacing w:before="60" w:after="60" w:line="276" w:lineRule="auto"/>
              <w:ind w:left="345"/>
              <w:rPr>
                <w:rFonts w:ascii="Arial" w:hAnsi="Arial" w:cs="Arial"/>
                <w:sz w:val="20"/>
                <w:szCs w:val="20"/>
              </w:rPr>
            </w:pPr>
            <w:r>
              <w:rPr>
                <w:rFonts w:ascii="Arial" w:hAnsi="Arial" w:cs="Arial"/>
                <w:sz w:val="20"/>
                <w:szCs w:val="20"/>
              </w:rPr>
              <w:t xml:space="preserve">Describe what targeted industry outreach was completed to </w:t>
            </w:r>
            <w:r w:rsidRPr="00701939">
              <w:rPr>
                <w:rFonts w:ascii="Arial" w:hAnsi="Arial" w:cs="Arial"/>
                <w:sz w:val="20"/>
                <w:szCs w:val="20"/>
                <w:u w:val="single"/>
              </w:rPr>
              <w:t>locate small and/or veteran-owned business</w:t>
            </w:r>
            <w:r>
              <w:rPr>
                <w:rFonts w:ascii="Arial" w:hAnsi="Arial" w:cs="Arial"/>
                <w:sz w:val="20"/>
                <w:szCs w:val="20"/>
              </w:rPr>
              <w:t xml:space="preserve"> to meet the agency’s need?</w:t>
            </w:r>
          </w:p>
          <w:p w14:paraId="252A7382" w14:textId="3EE0AFFD" w:rsidR="009416A8" w:rsidRDefault="00414EC4" w:rsidP="00230F11">
            <w:pPr>
              <w:pStyle w:val="ListParagraph"/>
              <w:spacing w:before="60" w:after="60" w:line="276" w:lineRule="auto"/>
              <w:ind w:left="345"/>
              <w:rPr>
                <w:rFonts w:ascii="Arial" w:hAnsi="Arial" w:cs="Arial"/>
                <w:b/>
                <w:bCs/>
                <w:sz w:val="20"/>
                <w:szCs w:val="20"/>
              </w:rPr>
            </w:pPr>
            <w:r w:rsidRPr="006C5B1F">
              <w:rPr>
                <w:rFonts w:ascii="Arial" w:hAnsi="Arial" w:cs="Arial"/>
                <w:b/>
                <w:bCs/>
                <w:sz w:val="20"/>
                <w:szCs w:val="20"/>
              </w:rPr>
              <w:t xml:space="preserve">Product searches for medical knowledge resources </w:t>
            </w:r>
            <w:r w:rsidR="00211910" w:rsidRPr="006C5B1F">
              <w:rPr>
                <w:rFonts w:ascii="Arial" w:hAnsi="Arial" w:cs="Arial"/>
                <w:b/>
                <w:bCs/>
                <w:sz w:val="20"/>
                <w:szCs w:val="20"/>
              </w:rPr>
              <w:t>and clinical</w:t>
            </w:r>
            <w:r w:rsidRPr="006C5B1F">
              <w:rPr>
                <w:rFonts w:ascii="Arial" w:hAnsi="Arial" w:cs="Arial"/>
                <w:b/>
                <w:bCs/>
                <w:sz w:val="20"/>
                <w:szCs w:val="20"/>
              </w:rPr>
              <w:t xml:space="preserve"> decision databases did not result in any local small and/or veteran-owned businesses.</w:t>
            </w:r>
            <w:r w:rsidR="006C5B1F">
              <w:rPr>
                <w:rFonts w:ascii="Arial" w:hAnsi="Arial" w:cs="Arial"/>
                <w:b/>
                <w:bCs/>
                <w:sz w:val="20"/>
                <w:szCs w:val="20"/>
              </w:rPr>
              <w:t xml:space="preserve">  The online research pointed to websites that highlight small or diverse businesses but there were no alternatives </w:t>
            </w:r>
            <w:r w:rsidR="00542A2F">
              <w:rPr>
                <w:rFonts w:ascii="Arial" w:hAnsi="Arial" w:cs="Arial"/>
                <w:b/>
                <w:bCs/>
                <w:sz w:val="20"/>
                <w:szCs w:val="20"/>
              </w:rPr>
              <w:t>to</w:t>
            </w:r>
            <w:r w:rsidR="006C5B1F">
              <w:rPr>
                <w:rFonts w:ascii="Arial" w:hAnsi="Arial" w:cs="Arial"/>
                <w:b/>
                <w:bCs/>
                <w:sz w:val="20"/>
                <w:szCs w:val="20"/>
              </w:rPr>
              <w:t xml:space="preserve"> UpToDate</w:t>
            </w:r>
            <w:r w:rsidR="00542A2F">
              <w:rPr>
                <w:rFonts w:ascii="Arial" w:hAnsi="Arial" w:cs="Arial"/>
                <w:b/>
                <w:bCs/>
                <w:sz w:val="20"/>
                <w:szCs w:val="20"/>
              </w:rPr>
              <w:t xml:space="preserve"> </w:t>
            </w:r>
            <w:r w:rsidR="006C5B1F">
              <w:rPr>
                <w:rFonts w:ascii="Arial" w:hAnsi="Arial" w:cs="Arial"/>
                <w:b/>
                <w:bCs/>
                <w:sz w:val="20"/>
                <w:szCs w:val="20"/>
              </w:rPr>
              <w:t xml:space="preserve">listed.  </w:t>
            </w:r>
          </w:p>
          <w:p w14:paraId="01E0E118" w14:textId="77777777" w:rsidR="009416A8" w:rsidRDefault="009416A8" w:rsidP="00230F11">
            <w:pPr>
              <w:pStyle w:val="ListParagraph"/>
              <w:spacing w:before="60" w:after="60" w:line="276" w:lineRule="auto"/>
              <w:ind w:left="345"/>
              <w:rPr>
                <w:rFonts w:ascii="Arial" w:hAnsi="Arial" w:cs="Arial"/>
                <w:b/>
                <w:bCs/>
                <w:sz w:val="20"/>
                <w:szCs w:val="20"/>
              </w:rPr>
            </w:pPr>
          </w:p>
          <w:p w14:paraId="48068BB0" w14:textId="0B910629" w:rsidR="001C7FF7" w:rsidRPr="006C5B1F" w:rsidRDefault="009416A8" w:rsidP="00230F11">
            <w:pPr>
              <w:pStyle w:val="ListParagraph"/>
              <w:spacing w:before="60" w:after="60" w:line="276" w:lineRule="auto"/>
              <w:ind w:left="345"/>
              <w:rPr>
                <w:rFonts w:ascii="Arial" w:hAnsi="Arial" w:cs="Arial"/>
                <w:sz w:val="20"/>
                <w:szCs w:val="20"/>
              </w:rPr>
            </w:pPr>
            <w:r>
              <w:rPr>
                <w:rFonts w:ascii="Arial" w:hAnsi="Arial" w:cs="Arial"/>
                <w:b/>
                <w:bCs/>
                <w:sz w:val="20"/>
                <w:szCs w:val="20"/>
              </w:rPr>
              <w:t>Vendor searches were also conducted for small businesses on WEBS and OMWBE.  WEBS search was conducted for “Evidenced Based Clinical Decisions”, which resulted in 0 relevant commodity codes.  Search on WEBS for “Clinical Subscription Library” resulted in relevant commodity code 956-38, of which search for WA Small Business and WA Veteran-owned business resulted in one vendor (Griffin Hayes LLC).  Unfortunately, this vendor does not offer clinical based subscription and their business model focus is on financial and accounting.  Vendor search on OMWBE website also resulted in 0 matches.</w:t>
            </w:r>
          </w:p>
        </w:tc>
      </w:tr>
      <w:tr w:rsidR="001C7FF7" w14:paraId="553BA898" w14:textId="77777777" w:rsidTr="00AD2C44">
        <w:trPr>
          <w:trHeight w:val="1728"/>
        </w:trPr>
        <w:tc>
          <w:tcPr>
            <w:tcW w:w="10887" w:type="dxa"/>
            <w:gridSpan w:val="5"/>
          </w:tcPr>
          <w:p w14:paraId="6140C05C" w14:textId="77777777" w:rsidR="001C7FF7" w:rsidRDefault="001C7FF7" w:rsidP="00230F11">
            <w:pPr>
              <w:pStyle w:val="ListParagraph"/>
              <w:numPr>
                <w:ilvl w:val="0"/>
                <w:numId w:val="1"/>
              </w:numPr>
              <w:spacing w:before="60" w:after="60" w:line="276" w:lineRule="auto"/>
              <w:ind w:left="345"/>
              <w:rPr>
                <w:rFonts w:ascii="Arial" w:hAnsi="Arial" w:cs="Arial"/>
                <w:sz w:val="20"/>
                <w:szCs w:val="20"/>
              </w:rPr>
            </w:pPr>
            <w:r>
              <w:rPr>
                <w:rFonts w:ascii="Arial" w:hAnsi="Arial" w:cs="Arial"/>
                <w:sz w:val="20"/>
                <w:szCs w:val="20"/>
              </w:rPr>
              <w:t xml:space="preserve">Provide a detailed and compelling </w:t>
            </w:r>
            <w:r w:rsidRPr="00ED05E8">
              <w:rPr>
                <w:rFonts w:ascii="Arial" w:hAnsi="Arial" w:cs="Arial"/>
                <w:sz w:val="20"/>
                <w:szCs w:val="20"/>
                <w:u w:val="single"/>
              </w:rPr>
              <w:t>description that includes qualification of the costs and risks mitigated</w:t>
            </w:r>
            <w:r>
              <w:rPr>
                <w:rFonts w:ascii="Arial" w:hAnsi="Arial" w:cs="Arial"/>
                <w:sz w:val="20"/>
                <w:szCs w:val="20"/>
              </w:rPr>
              <w:t xml:space="preserve"> by purchasing with this vendor (i.e., learning curve, follow-up natures).</w:t>
            </w:r>
          </w:p>
          <w:p w14:paraId="0C207BD7" w14:textId="17B48684" w:rsidR="001C7FF7" w:rsidRPr="006C5B1F" w:rsidRDefault="006C5B1F" w:rsidP="00230F11">
            <w:pPr>
              <w:spacing w:before="60" w:after="60" w:line="276" w:lineRule="auto"/>
              <w:ind w:left="345"/>
              <w:rPr>
                <w:rFonts w:ascii="Arial" w:hAnsi="Arial" w:cs="Arial"/>
                <w:b/>
                <w:bCs/>
                <w:sz w:val="20"/>
                <w:szCs w:val="20"/>
              </w:rPr>
            </w:pPr>
            <w:r>
              <w:rPr>
                <w:rFonts w:ascii="Arial" w:hAnsi="Arial" w:cs="Arial"/>
                <w:b/>
                <w:bCs/>
                <w:sz w:val="20"/>
                <w:szCs w:val="20"/>
              </w:rPr>
              <w:t>UpToDate</w:t>
            </w:r>
            <w:r w:rsidR="00542A2F">
              <w:rPr>
                <w:rFonts w:ascii="Arial" w:hAnsi="Arial" w:cs="Arial"/>
                <w:b/>
                <w:bCs/>
                <w:sz w:val="20"/>
                <w:szCs w:val="20"/>
              </w:rPr>
              <w:t xml:space="preserve"> </w:t>
            </w:r>
            <w:r>
              <w:rPr>
                <w:rFonts w:ascii="Arial" w:hAnsi="Arial" w:cs="Arial"/>
                <w:b/>
                <w:bCs/>
                <w:sz w:val="20"/>
                <w:szCs w:val="20"/>
              </w:rPr>
              <w:t xml:space="preserve">has been in use </w:t>
            </w:r>
            <w:r w:rsidR="009416A8">
              <w:rPr>
                <w:rFonts w:ascii="Arial" w:hAnsi="Arial" w:cs="Arial"/>
                <w:b/>
                <w:bCs/>
                <w:sz w:val="20"/>
                <w:szCs w:val="20"/>
              </w:rPr>
              <w:t xml:space="preserve">by </w:t>
            </w:r>
            <w:r>
              <w:rPr>
                <w:rFonts w:ascii="Arial" w:hAnsi="Arial" w:cs="Arial"/>
                <w:b/>
                <w:bCs/>
                <w:sz w:val="20"/>
                <w:szCs w:val="20"/>
              </w:rPr>
              <w:t>BHHA facilities since 2015</w:t>
            </w:r>
            <w:r w:rsidR="009416A8">
              <w:rPr>
                <w:rFonts w:ascii="Arial" w:hAnsi="Arial" w:cs="Arial"/>
                <w:b/>
                <w:bCs/>
                <w:sz w:val="20"/>
                <w:szCs w:val="20"/>
              </w:rPr>
              <w:t xml:space="preserve"> and is an established enterprise solution</w:t>
            </w:r>
            <w:r>
              <w:rPr>
                <w:rFonts w:ascii="Arial" w:hAnsi="Arial" w:cs="Arial"/>
                <w:b/>
                <w:bCs/>
                <w:sz w:val="20"/>
                <w:szCs w:val="20"/>
              </w:rPr>
              <w:t>.  BHHA</w:t>
            </w:r>
            <w:r w:rsidR="009416A8">
              <w:rPr>
                <w:rFonts w:ascii="Arial" w:hAnsi="Arial" w:cs="Arial"/>
                <w:b/>
                <w:bCs/>
                <w:sz w:val="20"/>
                <w:szCs w:val="20"/>
              </w:rPr>
              <w:t>’s</w:t>
            </w:r>
            <w:r>
              <w:rPr>
                <w:rFonts w:ascii="Arial" w:hAnsi="Arial" w:cs="Arial"/>
                <w:b/>
                <w:bCs/>
                <w:sz w:val="20"/>
                <w:szCs w:val="20"/>
              </w:rPr>
              <w:t xml:space="preserve"> </w:t>
            </w:r>
            <w:r w:rsidR="00211910" w:rsidRPr="006C5B1F">
              <w:rPr>
                <w:rFonts w:ascii="Arial" w:hAnsi="Arial" w:cs="Arial"/>
                <w:b/>
                <w:bCs/>
                <w:sz w:val="20"/>
                <w:szCs w:val="20"/>
              </w:rPr>
              <w:t>medical professionals are familiar with or have been educated using UpToDate</w:t>
            </w:r>
            <w:r w:rsidR="00542A2F">
              <w:rPr>
                <w:rFonts w:ascii="Arial" w:hAnsi="Arial" w:cs="Arial"/>
                <w:b/>
                <w:bCs/>
                <w:sz w:val="20"/>
                <w:szCs w:val="20"/>
              </w:rPr>
              <w:t xml:space="preserve"> </w:t>
            </w:r>
            <w:r w:rsidR="009416A8">
              <w:rPr>
                <w:rFonts w:ascii="Arial" w:hAnsi="Arial" w:cs="Arial"/>
                <w:b/>
                <w:bCs/>
                <w:i/>
                <w:iCs/>
                <w:sz w:val="20"/>
                <w:szCs w:val="20"/>
              </w:rPr>
              <w:t>and know the system inside and out.  UpToDate is easy to use and access, integrates seamlessly with other products, and there is no learning curve</w:t>
            </w:r>
            <w:r w:rsidR="00211910" w:rsidRPr="006C5B1F">
              <w:rPr>
                <w:rFonts w:ascii="Arial" w:hAnsi="Arial" w:cs="Arial"/>
                <w:b/>
                <w:bCs/>
                <w:sz w:val="20"/>
                <w:szCs w:val="20"/>
              </w:rPr>
              <w:t xml:space="preserve">.  </w:t>
            </w:r>
            <w:r w:rsidR="00CE585A">
              <w:rPr>
                <w:rFonts w:ascii="Arial" w:hAnsi="Arial" w:cs="Arial"/>
                <w:b/>
                <w:bCs/>
                <w:sz w:val="20"/>
                <w:szCs w:val="20"/>
              </w:rPr>
              <w:t>I</w:t>
            </w:r>
            <w:r w:rsidR="00211910" w:rsidRPr="006C5B1F">
              <w:rPr>
                <w:rFonts w:ascii="Arial" w:hAnsi="Arial" w:cs="Arial"/>
                <w:b/>
                <w:bCs/>
                <w:sz w:val="20"/>
                <w:szCs w:val="20"/>
              </w:rPr>
              <w:t xml:space="preserve">ntroducing </w:t>
            </w:r>
            <w:r w:rsidR="009416A8">
              <w:rPr>
                <w:rFonts w:ascii="Arial" w:hAnsi="Arial" w:cs="Arial"/>
                <w:b/>
                <w:bCs/>
                <w:sz w:val="20"/>
                <w:szCs w:val="20"/>
              </w:rPr>
              <w:t xml:space="preserve">or switching to </w:t>
            </w:r>
            <w:r w:rsidR="00211910" w:rsidRPr="006C5B1F">
              <w:rPr>
                <w:rFonts w:ascii="Arial" w:hAnsi="Arial" w:cs="Arial"/>
                <w:b/>
                <w:bCs/>
                <w:sz w:val="20"/>
                <w:szCs w:val="20"/>
              </w:rPr>
              <w:t xml:space="preserve">a new </w:t>
            </w:r>
            <w:r w:rsidR="009416A8">
              <w:rPr>
                <w:rFonts w:ascii="Arial" w:hAnsi="Arial" w:cs="Arial"/>
                <w:b/>
                <w:bCs/>
                <w:sz w:val="20"/>
                <w:szCs w:val="20"/>
              </w:rPr>
              <w:t xml:space="preserve">system is not cost effective and would result in additional staff training and </w:t>
            </w:r>
            <w:r w:rsidR="00211910" w:rsidRPr="006C5B1F">
              <w:rPr>
                <w:rFonts w:ascii="Arial" w:hAnsi="Arial" w:cs="Arial"/>
                <w:b/>
                <w:bCs/>
                <w:sz w:val="20"/>
                <w:szCs w:val="20"/>
              </w:rPr>
              <w:t>retraining</w:t>
            </w:r>
            <w:r w:rsidR="009416A8">
              <w:rPr>
                <w:rFonts w:ascii="Arial" w:hAnsi="Arial" w:cs="Arial"/>
                <w:b/>
                <w:bCs/>
                <w:sz w:val="20"/>
                <w:szCs w:val="20"/>
              </w:rPr>
              <w:t>.  In addition, there are no other systems available that have the required comprehensive clinical decision support</w:t>
            </w:r>
            <w:r w:rsidR="00211910" w:rsidRPr="006C5B1F">
              <w:rPr>
                <w:rFonts w:ascii="Arial" w:hAnsi="Arial" w:cs="Arial"/>
                <w:b/>
                <w:bCs/>
                <w:sz w:val="20"/>
                <w:szCs w:val="20"/>
              </w:rPr>
              <w:t xml:space="preserve"> and </w:t>
            </w:r>
            <w:r w:rsidR="009416A8">
              <w:rPr>
                <w:rFonts w:ascii="Arial" w:hAnsi="Arial" w:cs="Arial"/>
                <w:b/>
                <w:bCs/>
                <w:sz w:val="20"/>
                <w:szCs w:val="20"/>
              </w:rPr>
              <w:t xml:space="preserve">switching systems </w:t>
            </w:r>
            <w:r w:rsidR="00211910" w:rsidRPr="006C5B1F">
              <w:rPr>
                <w:rFonts w:ascii="Arial" w:hAnsi="Arial" w:cs="Arial"/>
                <w:b/>
                <w:bCs/>
                <w:sz w:val="20"/>
                <w:szCs w:val="20"/>
              </w:rPr>
              <w:t>may open opportunities for delayed patient care</w:t>
            </w:r>
            <w:r w:rsidR="00542A2F">
              <w:rPr>
                <w:rFonts w:ascii="Arial" w:hAnsi="Arial" w:cs="Arial"/>
                <w:b/>
                <w:bCs/>
                <w:sz w:val="20"/>
                <w:szCs w:val="20"/>
              </w:rPr>
              <w:t xml:space="preserve"> or lead to safety issues or concerns</w:t>
            </w:r>
            <w:r w:rsidR="00211910" w:rsidRPr="006C5B1F">
              <w:rPr>
                <w:rFonts w:ascii="Arial" w:hAnsi="Arial" w:cs="Arial"/>
                <w:b/>
                <w:bCs/>
                <w:sz w:val="20"/>
                <w:szCs w:val="20"/>
              </w:rPr>
              <w:t xml:space="preserve">.  To minimize cost, the vendor is providing an institutional subscription that allows staff to have unlimited access without any additional fees.  After comprehensive market research, </w:t>
            </w:r>
            <w:r>
              <w:rPr>
                <w:rFonts w:ascii="Arial" w:hAnsi="Arial" w:cs="Arial"/>
                <w:b/>
                <w:bCs/>
                <w:sz w:val="20"/>
                <w:szCs w:val="20"/>
              </w:rPr>
              <w:t>BHHA</w:t>
            </w:r>
            <w:r w:rsidR="00211910" w:rsidRPr="006C5B1F">
              <w:rPr>
                <w:rFonts w:ascii="Arial" w:hAnsi="Arial" w:cs="Arial"/>
                <w:b/>
                <w:bCs/>
                <w:sz w:val="20"/>
                <w:szCs w:val="20"/>
              </w:rPr>
              <w:t xml:space="preserve"> has </w:t>
            </w:r>
            <w:r w:rsidR="009416A8">
              <w:rPr>
                <w:rFonts w:ascii="Arial" w:hAnsi="Arial" w:cs="Arial"/>
                <w:b/>
                <w:bCs/>
                <w:sz w:val="20"/>
                <w:szCs w:val="20"/>
              </w:rPr>
              <w:t xml:space="preserve">determined that </w:t>
            </w:r>
            <w:r w:rsidR="00211910" w:rsidRPr="006C5B1F">
              <w:rPr>
                <w:rFonts w:ascii="Arial" w:hAnsi="Arial" w:cs="Arial"/>
                <w:b/>
                <w:bCs/>
                <w:sz w:val="20"/>
                <w:szCs w:val="20"/>
              </w:rPr>
              <w:t xml:space="preserve">by </w:t>
            </w:r>
            <w:r w:rsidR="009416A8">
              <w:rPr>
                <w:rFonts w:ascii="Arial" w:hAnsi="Arial" w:cs="Arial"/>
                <w:b/>
                <w:bCs/>
                <w:sz w:val="20"/>
                <w:szCs w:val="20"/>
              </w:rPr>
              <w:t>continuing subscription with UpToDate will mitigate costs.</w:t>
            </w:r>
            <w:r w:rsidR="00365A95" w:rsidRPr="006C5B1F">
              <w:rPr>
                <w:rFonts w:ascii="Arial" w:hAnsi="Arial" w:cs="Arial"/>
                <w:b/>
                <w:bCs/>
                <w:sz w:val="20"/>
                <w:szCs w:val="20"/>
              </w:rPr>
              <w:t xml:space="preserve"> </w:t>
            </w:r>
          </w:p>
        </w:tc>
      </w:tr>
      <w:tr w:rsidR="001C7FF7" w14:paraId="1DCCC759" w14:textId="77777777" w:rsidTr="00AD2C44">
        <w:trPr>
          <w:trHeight w:val="2047"/>
        </w:trPr>
        <w:tc>
          <w:tcPr>
            <w:tcW w:w="10887" w:type="dxa"/>
            <w:gridSpan w:val="5"/>
          </w:tcPr>
          <w:p w14:paraId="6CBF9F9D" w14:textId="77777777" w:rsidR="001C7FF7" w:rsidRPr="00ED05E8" w:rsidRDefault="001C7FF7" w:rsidP="00230F11">
            <w:pPr>
              <w:pStyle w:val="ListParagraph"/>
              <w:numPr>
                <w:ilvl w:val="0"/>
                <w:numId w:val="1"/>
              </w:numPr>
              <w:spacing w:before="60" w:after="60"/>
              <w:ind w:left="345"/>
              <w:rPr>
                <w:rFonts w:ascii="Arial" w:hAnsi="Arial" w:cs="Arial"/>
                <w:sz w:val="20"/>
                <w:szCs w:val="20"/>
              </w:rPr>
            </w:pPr>
            <w:r w:rsidRPr="00ED05E8">
              <w:rPr>
                <w:rFonts w:ascii="Arial" w:hAnsi="Arial" w:cs="Arial"/>
                <w:sz w:val="20"/>
                <w:szCs w:val="20"/>
              </w:rPr>
              <w:t xml:space="preserve">Is the agency proposing this sole source </w:t>
            </w:r>
            <w:r>
              <w:rPr>
                <w:rFonts w:ascii="Arial" w:hAnsi="Arial" w:cs="Arial"/>
                <w:sz w:val="20"/>
                <w:szCs w:val="20"/>
              </w:rPr>
              <w:t>filing</w:t>
            </w:r>
            <w:r w:rsidRPr="00ED05E8">
              <w:rPr>
                <w:rFonts w:ascii="Arial" w:hAnsi="Arial" w:cs="Arial"/>
                <w:sz w:val="20"/>
                <w:szCs w:val="20"/>
              </w:rPr>
              <w:t xml:space="preserve"> because of </w:t>
            </w:r>
            <w:r w:rsidRPr="00ED05E8">
              <w:rPr>
                <w:rFonts w:ascii="Arial" w:hAnsi="Arial" w:cs="Arial"/>
                <w:sz w:val="20"/>
                <w:szCs w:val="20"/>
                <w:u w:val="single"/>
              </w:rPr>
              <w:t>special circumstances</w:t>
            </w:r>
            <w:r w:rsidRPr="00ED05E8">
              <w:rPr>
                <w:rFonts w:ascii="Arial" w:hAnsi="Arial" w:cs="Arial"/>
                <w:sz w:val="20"/>
                <w:szCs w:val="20"/>
              </w:rPr>
              <w:t xml:space="preserve"> such as confidential investigations, copyright restrictions, etc.?  If so, please describe</w:t>
            </w:r>
            <w:r>
              <w:rPr>
                <w:rFonts w:ascii="Arial" w:hAnsi="Arial" w:cs="Arial"/>
                <w:sz w:val="20"/>
                <w:szCs w:val="20"/>
              </w:rPr>
              <w:t>.</w:t>
            </w:r>
          </w:p>
          <w:p w14:paraId="0E5B466B" w14:textId="3E37ED37" w:rsidR="001C7FF7" w:rsidRDefault="00636E64" w:rsidP="00230F11">
            <w:pPr>
              <w:pStyle w:val="ListParagraph"/>
              <w:spacing w:before="60" w:after="60" w:line="276" w:lineRule="auto"/>
              <w:ind w:left="346"/>
              <w:contextualSpacing w:val="0"/>
              <w:rPr>
                <w:rFonts w:ascii="Arial" w:hAnsi="Arial" w:cs="Arial"/>
                <w:b/>
                <w:bCs/>
                <w:sz w:val="20"/>
                <w:szCs w:val="20"/>
              </w:rPr>
            </w:pPr>
            <w:sdt>
              <w:sdtPr>
                <w:rPr>
                  <w:rFonts w:ascii="Arial" w:hAnsi="Arial" w:cs="Arial"/>
                  <w:b/>
                  <w:bCs/>
                  <w:sz w:val="20"/>
                  <w:szCs w:val="20"/>
                </w:rPr>
                <w:id w:val="1036323370"/>
                <w14:checkbox>
                  <w14:checked w14:val="1"/>
                  <w14:checkedState w14:val="2612" w14:font="MS Gothic"/>
                  <w14:uncheckedState w14:val="2610" w14:font="MS Gothic"/>
                </w14:checkbox>
              </w:sdtPr>
              <w:sdtEndPr/>
              <w:sdtContent>
                <w:r w:rsidR="00E34A7B">
                  <w:rPr>
                    <w:rFonts w:ascii="MS Gothic" w:eastAsia="MS Gothic" w:hAnsi="MS Gothic" w:cs="Arial" w:hint="eastAsia"/>
                    <w:b/>
                    <w:bCs/>
                    <w:sz w:val="20"/>
                    <w:szCs w:val="20"/>
                  </w:rPr>
                  <w:t>☒</w:t>
                </w:r>
              </w:sdtContent>
            </w:sdt>
            <w:r w:rsidR="001C7FF7" w:rsidRPr="00272746">
              <w:rPr>
                <w:rFonts w:ascii="Arial" w:hAnsi="Arial" w:cs="Arial"/>
                <w:b/>
                <w:bCs/>
                <w:sz w:val="20"/>
                <w:szCs w:val="20"/>
              </w:rPr>
              <w:t>Not applicable</w:t>
            </w:r>
            <w:r w:rsidR="001C7FF7">
              <w:rPr>
                <w:rFonts w:ascii="Arial" w:hAnsi="Arial" w:cs="Arial"/>
                <w:b/>
                <w:bCs/>
                <w:sz w:val="20"/>
                <w:szCs w:val="20"/>
              </w:rPr>
              <w:t>.</w:t>
            </w:r>
          </w:p>
          <w:p w14:paraId="5EA93E6D" w14:textId="02942762" w:rsidR="001C7FF7" w:rsidRPr="00010301" w:rsidRDefault="001C7FF7" w:rsidP="00230F11">
            <w:pPr>
              <w:spacing w:before="60" w:after="60" w:line="276" w:lineRule="auto"/>
              <w:ind w:left="340"/>
              <w:rPr>
                <w:rFonts w:ascii="Arial" w:hAnsi="Arial" w:cs="Arial"/>
                <w:b/>
                <w:bCs/>
                <w:sz w:val="20"/>
                <w:szCs w:val="20"/>
              </w:rPr>
            </w:pPr>
          </w:p>
        </w:tc>
      </w:tr>
      <w:tr w:rsidR="001C7FF7" w14:paraId="679D9053" w14:textId="77777777" w:rsidTr="00AD2C44">
        <w:trPr>
          <w:trHeight w:val="2695"/>
        </w:trPr>
        <w:tc>
          <w:tcPr>
            <w:tcW w:w="10887" w:type="dxa"/>
            <w:gridSpan w:val="5"/>
          </w:tcPr>
          <w:p w14:paraId="54085C73" w14:textId="77777777" w:rsidR="001C7FF7" w:rsidRPr="00ED05E8" w:rsidRDefault="001C7FF7" w:rsidP="00230F11">
            <w:pPr>
              <w:pStyle w:val="ListParagraph"/>
              <w:numPr>
                <w:ilvl w:val="0"/>
                <w:numId w:val="1"/>
              </w:numPr>
              <w:spacing w:before="60" w:after="60"/>
              <w:ind w:left="345"/>
              <w:rPr>
                <w:rFonts w:ascii="Arial" w:hAnsi="Arial" w:cs="Arial"/>
                <w:sz w:val="20"/>
                <w:szCs w:val="20"/>
              </w:rPr>
            </w:pPr>
            <w:r w:rsidRPr="00ED05E8">
              <w:rPr>
                <w:rFonts w:ascii="Arial" w:hAnsi="Arial" w:cs="Arial"/>
                <w:sz w:val="20"/>
                <w:szCs w:val="20"/>
              </w:rPr>
              <w:lastRenderedPageBreak/>
              <w:t xml:space="preserve">Is the agency proposing this sole source </w:t>
            </w:r>
            <w:r>
              <w:rPr>
                <w:rFonts w:ascii="Arial" w:hAnsi="Arial" w:cs="Arial"/>
                <w:sz w:val="20"/>
                <w:szCs w:val="20"/>
              </w:rPr>
              <w:t>filing</w:t>
            </w:r>
            <w:r w:rsidRPr="00ED05E8">
              <w:rPr>
                <w:rFonts w:ascii="Arial" w:hAnsi="Arial" w:cs="Arial"/>
                <w:sz w:val="20"/>
                <w:szCs w:val="20"/>
              </w:rPr>
              <w:t xml:space="preserve"> because of </w:t>
            </w:r>
            <w:r w:rsidRPr="00ED05E8">
              <w:rPr>
                <w:rFonts w:ascii="Arial" w:hAnsi="Arial" w:cs="Arial"/>
                <w:sz w:val="20"/>
                <w:szCs w:val="20"/>
                <w:u w:val="single"/>
              </w:rPr>
              <w:t>unavoidable, critical time delays or issues</w:t>
            </w:r>
            <w:r w:rsidRPr="00ED05E8">
              <w:rPr>
                <w:rFonts w:ascii="Arial" w:hAnsi="Arial" w:cs="Arial"/>
                <w:sz w:val="20"/>
                <w:szCs w:val="20"/>
              </w:rPr>
              <w:t xml:space="preserve"> that prevented the agency from completing this acquisition using a competitive process?  If so, please describe. </w:t>
            </w:r>
            <w:r>
              <w:rPr>
                <w:rFonts w:ascii="Arial" w:hAnsi="Arial" w:cs="Arial"/>
                <w:sz w:val="20"/>
                <w:szCs w:val="20"/>
              </w:rPr>
              <w:t xml:space="preserve"> </w:t>
            </w:r>
            <w:r w:rsidRPr="00ED05E8">
              <w:rPr>
                <w:rFonts w:ascii="Arial" w:hAnsi="Arial" w:cs="Arial"/>
                <w:sz w:val="20"/>
                <w:szCs w:val="20"/>
              </w:rPr>
              <w:t>For example, if time constraints are applicable, identify when the agency was on notice of the need for the goods and/or service, the entity that imposed the constraints, explain the authority of that entity to impose them, and provide the timelines which work must be accomplished</w:t>
            </w:r>
            <w:r>
              <w:rPr>
                <w:rFonts w:ascii="Arial" w:hAnsi="Arial" w:cs="Arial"/>
                <w:sz w:val="20"/>
                <w:szCs w:val="20"/>
              </w:rPr>
              <w:t>.</w:t>
            </w:r>
          </w:p>
          <w:p w14:paraId="5FCF8DAE" w14:textId="1E40B894" w:rsidR="001C7FF7" w:rsidRDefault="00636E64" w:rsidP="00230F11">
            <w:pPr>
              <w:pStyle w:val="ListParagraph"/>
              <w:spacing w:before="60" w:after="60"/>
              <w:ind w:left="346"/>
              <w:contextualSpacing w:val="0"/>
              <w:rPr>
                <w:rFonts w:ascii="Arial" w:hAnsi="Arial" w:cs="Arial"/>
                <w:b/>
                <w:bCs/>
                <w:sz w:val="20"/>
                <w:szCs w:val="20"/>
              </w:rPr>
            </w:pPr>
            <w:sdt>
              <w:sdtPr>
                <w:rPr>
                  <w:rFonts w:ascii="Arial" w:hAnsi="Arial" w:cs="Arial"/>
                  <w:b/>
                  <w:bCs/>
                  <w:sz w:val="20"/>
                  <w:szCs w:val="20"/>
                </w:rPr>
                <w:id w:val="159741474"/>
                <w14:checkbox>
                  <w14:checked w14:val="1"/>
                  <w14:checkedState w14:val="2612" w14:font="MS Gothic"/>
                  <w14:uncheckedState w14:val="2610" w14:font="MS Gothic"/>
                </w14:checkbox>
              </w:sdtPr>
              <w:sdtEndPr/>
              <w:sdtContent>
                <w:r w:rsidR="00E34A7B">
                  <w:rPr>
                    <w:rFonts w:ascii="MS Gothic" w:eastAsia="MS Gothic" w:hAnsi="MS Gothic" w:cs="Arial" w:hint="eastAsia"/>
                    <w:b/>
                    <w:bCs/>
                    <w:sz w:val="20"/>
                    <w:szCs w:val="20"/>
                  </w:rPr>
                  <w:t>☒</w:t>
                </w:r>
              </w:sdtContent>
            </w:sdt>
            <w:r w:rsidR="001C7FF7" w:rsidRPr="00272746">
              <w:rPr>
                <w:rFonts w:ascii="Arial" w:hAnsi="Arial" w:cs="Arial"/>
                <w:b/>
                <w:bCs/>
                <w:sz w:val="20"/>
                <w:szCs w:val="20"/>
              </w:rPr>
              <w:t>Not applicable</w:t>
            </w:r>
            <w:r w:rsidR="001C7FF7">
              <w:rPr>
                <w:rFonts w:ascii="Arial" w:hAnsi="Arial" w:cs="Arial"/>
                <w:b/>
                <w:bCs/>
                <w:sz w:val="20"/>
                <w:szCs w:val="20"/>
              </w:rPr>
              <w:t>.</w:t>
            </w:r>
          </w:p>
          <w:p w14:paraId="387B2740" w14:textId="08B78A42" w:rsidR="001C7FF7" w:rsidRPr="00036C37" w:rsidRDefault="001C7FF7" w:rsidP="00230F11">
            <w:pPr>
              <w:pStyle w:val="ListParagraph"/>
              <w:spacing w:before="60" w:after="60"/>
              <w:ind w:left="345"/>
              <w:rPr>
                <w:rFonts w:ascii="Arial" w:hAnsi="Arial" w:cs="Arial"/>
                <w:b/>
                <w:bCs/>
                <w:sz w:val="20"/>
                <w:szCs w:val="20"/>
              </w:rPr>
            </w:pPr>
          </w:p>
        </w:tc>
      </w:tr>
      <w:tr w:rsidR="001C7FF7" w14:paraId="335B1037" w14:textId="77777777" w:rsidTr="00AD2C44">
        <w:trPr>
          <w:trHeight w:val="2695"/>
        </w:trPr>
        <w:tc>
          <w:tcPr>
            <w:tcW w:w="10887" w:type="dxa"/>
            <w:gridSpan w:val="5"/>
          </w:tcPr>
          <w:p w14:paraId="22B6A455" w14:textId="77777777" w:rsidR="001C7FF7" w:rsidRDefault="001C7FF7" w:rsidP="00230F11">
            <w:pPr>
              <w:pStyle w:val="ListParagraph"/>
              <w:numPr>
                <w:ilvl w:val="0"/>
                <w:numId w:val="1"/>
              </w:numPr>
              <w:spacing w:before="60" w:after="60"/>
              <w:ind w:left="345"/>
              <w:rPr>
                <w:rFonts w:ascii="Arial" w:hAnsi="Arial" w:cs="Arial"/>
                <w:sz w:val="20"/>
                <w:szCs w:val="20"/>
              </w:rPr>
            </w:pPr>
            <w:r w:rsidRPr="00272746">
              <w:rPr>
                <w:rFonts w:ascii="Arial" w:hAnsi="Arial" w:cs="Arial"/>
                <w:sz w:val="20"/>
                <w:szCs w:val="20"/>
              </w:rPr>
              <w:t xml:space="preserve">What are the </w:t>
            </w:r>
            <w:r w:rsidRPr="00272746">
              <w:rPr>
                <w:rFonts w:ascii="Arial" w:hAnsi="Arial" w:cs="Arial"/>
                <w:sz w:val="20"/>
                <w:szCs w:val="20"/>
                <w:u w:val="single"/>
              </w:rPr>
              <w:t>consequences of</w:t>
            </w:r>
            <w:r w:rsidRPr="00272746">
              <w:rPr>
                <w:rFonts w:ascii="Arial" w:hAnsi="Arial" w:cs="Arial"/>
                <w:i/>
                <w:sz w:val="20"/>
                <w:szCs w:val="20"/>
                <w:u w:val="single"/>
              </w:rPr>
              <w:t xml:space="preserve"> </w:t>
            </w:r>
            <w:r w:rsidRPr="00272746">
              <w:rPr>
                <w:rFonts w:ascii="Arial" w:hAnsi="Arial" w:cs="Arial"/>
                <w:b/>
                <w:bCs/>
                <w:iCs/>
                <w:sz w:val="20"/>
                <w:szCs w:val="20"/>
                <w:u w:val="single"/>
              </w:rPr>
              <w:t>not</w:t>
            </w:r>
            <w:r w:rsidRPr="00272746">
              <w:rPr>
                <w:rFonts w:ascii="Arial" w:hAnsi="Arial" w:cs="Arial"/>
                <w:i/>
                <w:sz w:val="20"/>
                <w:szCs w:val="20"/>
                <w:u w:val="single"/>
              </w:rPr>
              <w:t xml:space="preserve"> </w:t>
            </w:r>
            <w:r w:rsidRPr="00272746">
              <w:rPr>
                <w:rFonts w:ascii="Arial" w:hAnsi="Arial" w:cs="Arial"/>
                <w:sz w:val="20"/>
                <w:szCs w:val="20"/>
                <w:u w:val="single"/>
              </w:rPr>
              <w:t>having this sole source filing approved</w:t>
            </w:r>
            <w:r w:rsidRPr="00272746">
              <w:rPr>
                <w:rFonts w:ascii="Arial" w:hAnsi="Arial" w:cs="Arial"/>
                <w:sz w:val="20"/>
                <w:szCs w:val="20"/>
              </w:rPr>
              <w:t xml:space="preserve">?  Describe in detail the impact to the agency and to services it provides if this sole source filing is </w:t>
            </w:r>
            <w:r w:rsidRPr="00272746">
              <w:rPr>
                <w:rFonts w:ascii="Arial" w:hAnsi="Arial" w:cs="Arial"/>
                <w:b/>
                <w:bCs/>
                <w:iCs/>
                <w:sz w:val="20"/>
                <w:szCs w:val="20"/>
              </w:rPr>
              <w:t>not</w:t>
            </w:r>
            <w:r w:rsidRPr="00272746">
              <w:rPr>
                <w:rFonts w:ascii="Arial" w:hAnsi="Arial" w:cs="Arial"/>
                <w:sz w:val="20"/>
                <w:szCs w:val="20"/>
              </w:rPr>
              <w:t xml:space="preserve"> approved.</w:t>
            </w:r>
          </w:p>
          <w:p w14:paraId="0CA3CFAF" w14:textId="77777777" w:rsidR="00586A99" w:rsidRDefault="00586A99" w:rsidP="00586A99">
            <w:pPr>
              <w:pStyle w:val="ListParagraph"/>
              <w:spacing w:before="60" w:after="60"/>
              <w:ind w:left="345"/>
              <w:rPr>
                <w:rFonts w:ascii="Arial" w:hAnsi="Arial" w:cs="Arial"/>
                <w:sz w:val="20"/>
                <w:szCs w:val="20"/>
              </w:rPr>
            </w:pPr>
          </w:p>
          <w:p w14:paraId="7373944E" w14:textId="25D452C4" w:rsidR="009416A8" w:rsidRDefault="006C5B1F" w:rsidP="00816340">
            <w:pPr>
              <w:pStyle w:val="ListParagraph"/>
              <w:spacing w:before="60" w:after="60"/>
              <w:ind w:left="345"/>
              <w:rPr>
                <w:rFonts w:ascii="Arial" w:hAnsi="Arial" w:cs="Arial"/>
                <w:b/>
                <w:bCs/>
                <w:sz w:val="20"/>
                <w:szCs w:val="20"/>
              </w:rPr>
            </w:pPr>
            <w:r w:rsidRPr="009973B5">
              <w:rPr>
                <w:rFonts w:ascii="Arial" w:hAnsi="Arial" w:cs="Arial"/>
                <w:b/>
                <w:bCs/>
                <w:sz w:val="20"/>
                <w:szCs w:val="20"/>
              </w:rPr>
              <w:t xml:space="preserve">The BHHA patient population is a unique group requiring proven resources to help treat these </w:t>
            </w:r>
            <w:r w:rsidR="009973B5" w:rsidRPr="009973B5">
              <w:rPr>
                <w:rFonts w:ascii="Arial" w:hAnsi="Arial" w:cs="Arial"/>
                <w:b/>
                <w:bCs/>
                <w:sz w:val="20"/>
                <w:szCs w:val="20"/>
              </w:rPr>
              <w:t>patients’</w:t>
            </w:r>
            <w:r w:rsidRPr="009973B5">
              <w:rPr>
                <w:rFonts w:ascii="Arial" w:hAnsi="Arial" w:cs="Arial"/>
                <w:b/>
                <w:bCs/>
                <w:sz w:val="20"/>
                <w:szCs w:val="20"/>
              </w:rPr>
              <w:t xml:space="preserve"> unique needs.  </w:t>
            </w:r>
            <w:r w:rsidR="009973B5" w:rsidRPr="009973B5">
              <w:rPr>
                <w:rFonts w:ascii="Arial" w:hAnsi="Arial" w:cs="Arial"/>
                <w:b/>
                <w:bCs/>
                <w:sz w:val="20"/>
                <w:szCs w:val="20"/>
              </w:rPr>
              <w:t>Many</w:t>
            </w:r>
            <w:r w:rsidRPr="009973B5">
              <w:rPr>
                <w:rFonts w:ascii="Arial" w:hAnsi="Arial" w:cs="Arial"/>
                <w:b/>
                <w:bCs/>
                <w:sz w:val="20"/>
                <w:szCs w:val="20"/>
              </w:rPr>
              <w:t xml:space="preserve"> BHHA patients are prescribed anti-psychotic medications with their own set of side-effects and </w:t>
            </w:r>
            <w:r w:rsidR="009973B5" w:rsidRPr="009973B5">
              <w:rPr>
                <w:rFonts w:ascii="Arial" w:hAnsi="Arial" w:cs="Arial"/>
                <w:b/>
                <w:bCs/>
                <w:sz w:val="20"/>
                <w:szCs w:val="20"/>
              </w:rPr>
              <w:t xml:space="preserve">issues.  Weight gain, diabetes, hyponatremia, and other illnesses are common among BHHA patients.  </w:t>
            </w:r>
            <w:r w:rsidR="009973B5">
              <w:rPr>
                <w:rFonts w:ascii="Arial" w:hAnsi="Arial" w:cs="Arial"/>
                <w:b/>
                <w:bCs/>
                <w:sz w:val="20"/>
                <w:szCs w:val="20"/>
              </w:rPr>
              <w:t xml:space="preserve">The Medical Staff of all BHHA facilities require access to a proven tool to give the BHHA patients the best care available.  </w:t>
            </w:r>
            <w:r w:rsidR="009416A8" w:rsidRPr="00CE585A">
              <w:rPr>
                <w:rFonts w:ascii="Arial" w:hAnsi="Arial" w:cs="Arial"/>
                <w:b/>
                <w:bCs/>
                <w:sz w:val="20"/>
                <w:szCs w:val="20"/>
              </w:rPr>
              <w:t>Use of UpToDate</w:t>
            </w:r>
            <w:r w:rsidR="00DD3CD7" w:rsidRPr="00CE585A">
              <w:rPr>
                <w:rFonts w:ascii="Arial" w:hAnsi="Arial" w:cs="Arial"/>
                <w:b/>
                <w:bCs/>
                <w:sz w:val="20"/>
                <w:szCs w:val="20"/>
              </w:rPr>
              <w:t>’s</w:t>
            </w:r>
            <w:r w:rsidR="009416A8" w:rsidRPr="00CE585A">
              <w:rPr>
                <w:rFonts w:ascii="Arial" w:hAnsi="Arial" w:cs="Arial"/>
                <w:b/>
                <w:bCs/>
                <w:sz w:val="20"/>
                <w:szCs w:val="20"/>
              </w:rPr>
              <w:t xml:space="preserve"> subscription </w:t>
            </w:r>
            <w:r w:rsidR="00CE585A" w:rsidRPr="00CE585A">
              <w:rPr>
                <w:rFonts w:ascii="Arial" w:hAnsi="Arial" w:cs="Arial"/>
                <w:b/>
                <w:bCs/>
                <w:sz w:val="20"/>
                <w:szCs w:val="20"/>
              </w:rPr>
              <w:t xml:space="preserve">helps to mitigate </w:t>
            </w:r>
            <w:r w:rsidR="009416A8" w:rsidRPr="00CE585A">
              <w:rPr>
                <w:rFonts w:ascii="Arial" w:hAnsi="Arial" w:cs="Arial"/>
                <w:b/>
                <w:bCs/>
                <w:sz w:val="20"/>
                <w:szCs w:val="20"/>
              </w:rPr>
              <w:t xml:space="preserve">general and fatal errors from occurring.  Without a proven and reliable source of accurate and timely medical information, delays could lead to slower treatment times, less accurate care and possible reliance and outdated practices which would not be in the best interest of our patients and residents. Ultimately, denial of this service has the potential to open DSHS and its clinicians to possible incorrect drug dosages, and general errors that could have been prevented with the use of the UpToDate product, </w:t>
            </w:r>
            <w:r w:rsidR="00DD3CD7" w:rsidRPr="00CE585A">
              <w:rPr>
                <w:rFonts w:ascii="Arial" w:hAnsi="Arial" w:cs="Arial"/>
                <w:b/>
                <w:bCs/>
                <w:sz w:val="20"/>
                <w:szCs w:val="20"/>
              </w:rPr>
              <w:t>UpToDate</w:t>
            </w:r>
            <w:r w:rsidR="009416A8" w:rsidRPr="00CE585A">
              <w:rPr>
                <w:rFonts w:ascii="Arial" w:hAnsi="Arial" w:cs="Arial"/>
                <w:b/>
                <w:bCs/>
                <w:sz w:val="20"/>
                <w:szCs w:val="20"/>
              </w:rPr>
              <w:t>, as a double check to clinician's knowledge base.</w:t>
            </w:r>
          </w:p>
          <w:p w14:paraId="35535F2C" w14:textId="77777777" w:rsidR="009416A8" w:rsidRDefault="009416A8" w:rsidP="00816340">
            <w:pPr>
              <w:pStyle w:val="ListParagraph"/>
              <w:spacing w:before="60" w:after="60"/>
              <w:ind w:left="345"/>
              <w:rPr>
                <w:rFonts w:ascii="Arial" w:hAnsi="Arial" w:cs="Arial"/>
                <w:b/>
                <w:bCs/>
                <w:sz w:val="20"/>
                <w:szCs w:val="20"/>
              </w:rPr>
            </w:pPr>
          </w:p>
          <w:p w14:paraId="53CB2519" w14:textId="5D77E059" w:rsidR="00C43604" w:rsidRPr="009416A8" w:rsidRDefault="009973B5" w:rsidP="009416A8">
            <w:pPr>
              <w:pStyle w:val="ListParagraph"/>
              <w:spacing w:before="60" w:after="60"/>
              <w:ind w:left="345"/>
              <w:rPr>
                <w:rFonts w:ascii="Arial" w:hAnsi="Arial" w:cs="Arial"/>
                <w:b/>
                <w:bCs/>
                <w:sz w:val="20"/>
                <w:szCs w:val="20"/>
              </w:rPr>
            </w:pPr>
            <w:r>
              <w:rPr>
                <w:rFonts w:ascii="Arial" w:hAnsi="Arial" w:cs="Arial"/>
                <w:b/>
                <w:bCs/>
                <w:sz w:val="20"/>
                <w:szCs w:val="20"/>
              </w:rPr>
              <w:t xml:space="preserve">The integration between </w:t>
            </w:r>
            <w:r w:rsidR="009416A8">
              <w:rPr>
                <w:rFonts w:ascii="Arial" w:hAnsi="Arial" w:cs="Arial"/>
                <w:b/>
                <w:bCs/>
                <w:sz w:val="20"/>
                <w:szCs w:val="20"/>
              </w:rPr>
              <w:t xml:space="preserve">UpToDate </w:t>
            </w:r>
            <w:r>
              <w:rPr>
                <w:rFonts w:ascii="Arial" w:hAnsi="Arial" w:cs="Arial"/>
                <w:b/>
                <w:bCs/>
                <w:sz w:val="20"/>
                <w:szCs w:val="20"/>
              </w:rPr>
              <w:t xml:space="preserve">and </w:t>
            </w:r>
            <w:r w:rsidR="009416A8">
              <w:rPr>
                <w:rFonts w:ascii="Arial" w:hAnsi="Arial" w:cs="Arial"/>
                <w:b/>
                <w:bCs/>
                <w:i/>
                <w:iCs/>
                <w:sz w:val="20"/>
                <w:szCs w:val="20"/>
              </w:rPr>
              <w:t xml:space="preserve">other systems currently in use </w:t>
            </w:r>
            <w:r>
              <w:rPr>
                <w:rFonts w:ascii="Arial" w:hAnsi="Arial" w:cs="Arial"/>
                <w:b/>
                <w:bCs/>
                <w:sz w:val="20"/>
                <w:szCs w:val="20"/>
              </w:rPr>
              <w:t xml:space="preserve">provides front-line treatment of the BHHA patient population.  If </w:t>
            </w:r>
            <w:r w:rsidR="009416A8">
              <w:rPr>
                <w:rFonts w:ascii="Arial" w:hAnsi="Arial" w:cs="Arial"/>
                <w:b/>
                <w:bCs/>
                <w:sz w:val="20"/>
                <w:szCs w:val="20"/>
              </w:rPr>
              <w:t xml:space="preserve">this service is denied, </w:t>
            </w:r>
            <w:r>
              <w:rPr>
                <w:rFonts w:ascii="Arial" w:hAnsi="Arial" w:cs="Arial"/>
                <w:b/>
                <w:bCs/>
                <w:sz w:val="20"/>
                <w:szCs w:val="20"/>
              </w:rPr>
              <w:t xml:space="preserve">the integration between care and poly-pharmacy would be lost, potentially placing BHHA patients in harms way.  </w:t>
            </w:r>
          </w:p>
        </w:tc>
      </w:tr>
      <w:tr w:rsidR="001C7FF7" w14:paraId="49431E3E" w14:textId="77777777" w:rsidTr="00AD2C44">
        <w:trPr>
          <w:trHeight w:val="2695"/>
        </w:trPr>
        <w:tc>
          <w:tcPr>
            <w:tcW w:w="10887" w:type="dxa"/>
            <w:gridSpan w:val="5"/>
            <w:tcBorders>
              <w:bottom w:val="single" w:sz="4" w:space="0" w:color="auto"/>
            </w:tcBorders>
          </w:tcPr>
          <w:p w14:paraId="4789E98B" w14:textId="77777777" w:rsidR="001C7FF7" w:rsidRDefault="001C7FF7" w:rsidP="00230F11">
            <w:pPr>
              <w:pStyle w:val="ListParagraph"/>
              <w:numPr>
                <w:ilvl w:val="0"/>
                <w:numId w:val="1"/>
              </w:numPr>
              <w:spacing w:before="60" w:after="60"/>
              <w:ind w:left="345"/>
              <w:rPr>
                <w:rFonts w:ascii="Arial" w:hAnsi="Arial" w:cs="Arial"/>
                <w:sz w:val="20"/>
                <w:szCs w:val="20"/>
              </w:rPr>
            </w:pPr>
            <w:r w:rsidRPr="00272746">
              <w:rPr>
                <w:rFonts w:ascii="Arial" w:hAnsi="Arial" w:cs="Arial"/>
                <w:sz w:val="20"/>
                <w:szCs w:val="20"/>
              </w:rPr>
              <w:t xml:space="preserve">Since competition was not used as the means for procurement, </w:t>
            </w:r>
            <w:r w:rsidRPr="00272746">
              <w:rPr>
                <w:rFonts w:ascii="Arial" w:hAnsi="Arial" w:cs="Arial"/>
                <w:sz w:val="20"/>
                <w:szCs w:val="20"/>
                <w:u w:val="single"/>
              </w:rPr>
              <w:t>how did the agency conclude that the costs</w:t>
            </w:r>
            <w:r w:rsidRPr="00272746">
              <w:rPr>
                <w:rFonts w:ascii="Arial" w:hAnsi="Arial" w:cs="Arial"/>
                <w:sz w:val="20"/>
                <w:szCs w:val="20"/>
              </w:rPr>
              <w:t xml:space="preserve">, fees, or rates negotiated </w:t>
            </w:r>
            <w:r w:rsidRPr="00272746">
              <w:rPr>
                <w:rFonts w:ascii="Arial" w:hAnsi="Arial" w:cs="Arial"/>
                <w:sz w:val="20"/>
                <w:szCs w:val="20"/>
                <w:u w:val="single"/>
              </w:rPr>
              <w:t>are fair and reasonable</w:t>
            </w:r>
            <w:r w:rsidRPr="00272746">
              <w:rPr>
                <w:rFonts w:ascii="Arial" w:hAnsi="Arial" w:cs="Arial"/>
                <w:sz w:val="20"/>
                <w:szCs w:val="20"/>
              </w:rPr>
              <w:t xml:space="preserve">?  Please make a comparison with comparable </w:t>
            </w:r>
            <w:r>
              <w:rPr>
                <w:rFonts w:ascii="Arial" w:hAnsi="Arial" w:cs="Arial"/>
                <w:sz w:val="20"/>
                <w:szCs w:val="20"/>
              </w:rPr>
              <w:t>procurements</w:t>
            </w:r>
            <w:r w:rsidRPr="00272746">
              <w:rPr>
                <w:rFonts w:ascii="Arial" w:hAnsi="Arial" w:cs="Arial"/>
                <w:sz w:val="20"/>
                <w:szCs w:val="20"/>
              </w:rPr>
              <w:t>, use the results or a market survey, or employ other appropriate means calculated to make such a determination</w:t>
            </w:r>
            <w:r>
              <w:rPr>
                <w:rFonts w:ascii="Arial" w:hAnsi="Arial" w:cs="Arial"/>
                <w:sz w:val="20"/>
                <w:szCs w:val="20"/>
              </w:rPr>
              <w:t>.</w:t>
            </w:r>
          </w:p>
          <w:p w14:paraId="3D3BBDE1" w14:textId="77777777" w:rsidR="009973B5" w:rsidRDefault="009973B5" w:rsidP="009973B5">
            <w:pPr>
              <w:pStyle w:val="ListParagraph"/>
              <w:spacing w:before="60" w:after="60"/>
              <w:ind w:left="345"/>
              <w:rPr>
                <w:rFonts w:ascii="Arial" w:hAnsi="Arial" w:cs="Arial"/>
                <w:sz w:val="20"/>
                <w:szCs w:val="20"/>
              </w:rPr>
            </w:pPr>
          </w:p>
          <w:p w14:paraId="10D151FD" w14:textId="5AE6AA8B" w:rsidR="001C7FF7" w:rsidRPr="00BC343F" w:rsidRDefault="00BC343F" w:rsidP="00230F11">
            <w:pPr>
              <w:spacing w:before="60" w:after="60"/>
              <w:ind w:left="340"/>
              <w:rPr>
                <w:rFonts w:ascii="Times New Roman" w:hAnsi="Times New Roman" w:cs="Times New Roman"/>
                <w:b/>
                <w:bCs/>
                <w:sz w:val="24"/>
                <w:szCs w:val="24"/>
              </w:rPr>
            </w:pPr>
            <w:r w:rsidRPr="00BC343F">
              <w:rPr>
                <w:rFonts w:ascii="Cambria" w:cs="Arial"/>
                <w:b/>
                <w:bCs/>
                <w:noProof/>
              </w:rPr>
              <w:t xml:space="preserve">Comparing the price with other services is not an accurate comparison as other services do not provide an all-inclusive subscription. </w:t>
            </w:r>
            <w:r w:rsidR="009416A8">
              <w:rPr>
                <w:rFonts w:ascii="Cambria" w:cs="Arial"/>
                <w:b/>
                <w:bCs/>
                <w:noProof/>
              </w:rPr>
              <w:t xml:space="preserve"> </w:t>
            </w:r>
            <w:r w:rsidR="009973B5">
              <w:rPr>
                <w:rFonts w:ascii="Cambria" w:cs="Arial"/>
                <w:b/>
                <w:bCs/>
                <w:noProof/>
              </w:rPr>
              <w:t>BHHA</w:t>
            </w:r>
            <w:r w:rsidRPr="00BC343F">
              <w:rPr>
                <w:rFonts w:ascii="Cambria" w:cs="Arial"/>
                <w:b/>
                <w:bCs/>
                <w:noProof/>
              </w:rPr>
              <w:t xml:space="preserve"> </w:t>
            </w:r>
            <w:r w:rsidR="009973B5">
              <w:rPr>
                <w:rFonts w:ascii="Cambria" w:cs="Arial"/>
                <w:b/>
                <w:bCs/>
                <w:noProof/>
              </w:rPr>
              <w:t>is</w:t>
            </w:r>
            <w:r w:rsidRPr="00BC343F">
              <w:rPr>
                <w:rFonts w:ascii="Cambria" w:cs="Arial"/>
                <w:b/>
                <w:bCs/>
                <w:noProof/>
              </w:rPr>
              <w:t xml:space="preserve"> confident this subscription is in the best interest of DSHS, and the State</w:t>
            </w:r>
            <w:r>
              <w:rPr>
                <w:rFonts w:ascii="Cambria" w:cs="Arial"/>
                <w:b/>
                <w:bCs/>
                <w:noProof/>
              </w:rPr>
              <w:t xml:space="preserve"> of Washington</w:t>
            </w:r>
            <w:r w:rsidRPr="00BC343F">
              <w:rPr>
                <w:rFonts w:ascii="Cambria" w:cs="Arial"/>
                <w:b/>
                <w:bCs/>
                <w:noProof/>
              </w:rPr>
              <w:t xml:space="preserve">. </w:t>
            </w:r>
            <w:r w:rsidR="009973B5">
              <w:rPr>
                <w:rFonts w:ascii="Cambria" w:cs="Arial"/>
                <w:b/>
                <w:bCs/>
                <w:noProof/>
              </w:rPr>
              <w:t>BHHA is</w:t>
            </w:r>
            <w:r w:rsidRPr="00BC343F">
              <w:rPr>
                <w:rFonts w:ascii="Cambria" w:cs="Arial"/>
                <w:b/>
                <w:bCs/>
                <w:noProof/>
              </w:rPr>
              <w:t xml:space="preserve"> receiving substantial cost savings under the institutional subscription option offered by</w:t>
            </w:r>
            <w:r w:rsidR="009416A8">
              <w:rPr>
                <w:rFonts w:ascii="Cambria" w:cs="Arial"/>
                <w:b/>
                <w:bCs/>
                <w:noProof/>
              </w:rPr>
              <w:t xml:space="preserve"> UpToDate</w:t>
            </w:r>
            <w:r w:rsidR="009973B5">
              <w:rPr>
                <w:rFonts w:ascii="Cambria" w:cs="Arial"/>
                <w:b/>
                <w:bCs/>
                <w:noProof/>
              </w:rPr>
              <w:t xml:space="preserve">.  </w:t>
            </w:r>
            <w:r w:rsidR="009416A8">
              <w:rPr>
                <w:rFonts w:ascii="Cambria" w:cs="Arial"/>
                <w:b/>
                <w:bCs/>
                <w:noProof/>
              </w:rPr>
              <w:t xml:space="preserve">As stated above within Question 8, </w:t>
            </w:r>
            <w:r w:rsidR="009416A8">
              <w:rPr>
                <w:rFonts w:ascii="Arial" w:hAnsi="Arial" w:cs="Arial"/>
                <w:b/>
                <w:bCs/>
                <w:sz w:val="20"/>
                <w:szCs w:val="20"/>
              </w:rPr>
              <w:t xml:space="preserve">UpToDate </w:t>
            </w:r>
            <w:r w:rsidR="009416A8" w:rsidRPr="006C5B1F">
              <w:rPr>
                <w:rFonts w:ascii="Arial" w:hAnsi="Arial" w:cs="Arial"/>
                <w:b/>
                <w:bCs/>
                <w:sz w:val="20"/>
                <w:szCs w:val="20"/>
              </w:rPr>
              <w:t>is providing an institutional subscription that allows staff to have unlimited access without any additional fees.</w:t>
            </w:r>
            <w:r w:rsidR="009416A8">
              <w:rPr>
                <w:rFonts w:ascii="Arial" w:hAnsi="Arial" w:cs="Arial"/>
                <w:b/>
                <w:bCs/>
                <w:sz w:val="20"/>
                <w:szCs w:val="20"/>
              </w:rPr>
              <w:t xml:space="preserve">  BHHA has determined that the costs associated with this system are fair and reasonable.</w:t>
            </w:r>
          </w:p>
        </w:tc>
      </w:tr>
      <w:tr w:rsidR="001C7FF7" w14:paraId="0B9C8F4F" w14:textId="77777777" w:rsidTr="00AD2C44">
        <w:trPr>
          <w:trHeight w:val="1606"/>
        </w:trPr>
        <w:tc>
          <w:tcPr>
            <w:tcW w:w="10887" w:type="dxa"/>
            <w:gridSpan w:val="5"/>
            <w:tcBorders>
              <w:top w:val="single" w:sz="4" w:space="0" w:color="auto"/>
              <w:left w:val="nil"/>
              <w:bottom w:val="nil"/>
              <w:right w:val="nil"/>
            </w:tcBorders>
          </w:tcPr>
          <w:p w14:paraId="2EEC075E" w14:textId="77777777" w:rsidR="001C7FF7" w:rsidRDefault="001C7FF7" w:rsidP="00230F11">
            <w:pPr>
              <w:spacing w:before="120" w:after="120"/>
              <w:rPr>
                <w:rFonts w:ascii="Arial" w:hAnsi="Arial" w:cs="Arial"/>
                <w:sz w:val="20"/>
                <w:szCs w:val="20"/>
              </w:rPr>
            </w:pPr>
          </w:p>
          <w:p w14:paraId="2FE368A2" w14:textId="77777777" w:rsidR="001C7FF7" w:rsidRDefault="001C7FF7" w:rsidP="00230F11">
            <w:pPr>
              <w:spacing w:before="120"/>
              <w:ind w:left="430" w:hanging="43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bookmarkStart w:id="0" w:name="Check4"/>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r>
              <w:rPr>
                <w:rFonts w:ascii="Arial" w:hAnsi="Arial" w:cs="Arial"/>
                <w:sz w:val="20"/>
                <w:szCs w:val="20"/>
              </w:rPr>
              <w:tab/>
            </w:r>
            <w:r w:rsidRPr="00944CD5">
              <w:rPr>
                <w:rFonts w:ascii="Arial" w:hAnsi="Arial" w:cs="Arial"/>
                <w:sz w:val="20"/>
                <w:szCs w:val="20"/>
              </w:rPr>
              <w:t>If filing is considered late, obtain your Division Director and Fiscal Approvals.</w:t>
            </w:r>
            <w:r w:rsidRPr="00230F11">
              <w:rPr>
                <w:rFonts w:ascii="Arial" w:hAnsi="Arial" w:cs="Arial"/>
                <w:color w:val="0000FF"/>
                <w:sz w:val="20"/>
                <w:szCs w:val="20"/>
              </w:rPr>
              <w:t xml:space="preserve">  </w:t>
            </w:r>
            <w:r>
              <w:rPr>
                <w:rFonts w:ascii="Arial" w:hAnsi="Arial" w:cs="Arial"/>
                <w:color w:val="0000FF"/>
                <w:sz w:val="20"/>
                <w:szCs w:val="20"/>
              </w:rPr>
              <w:t>(</w:t>
            </w:r>
            <w:r w:rsidRPr="00230F11">
              <w:rPr>
                <w:rFonts w:ascii="Arial" w:hAnsi="Arial" w:cs="Arial"/>
                <w:color w:val="0000FF"/>
                <w:sz w:val="20"/>
                <w:szCs w:val="20"/>
              </w:rPr>
              <w:t>Remove or incorporate into the paragraph below.</w:t>
            </w:r>
            <w:r>
              <w:rPr>
                <w:rFonts w:ascii="Arial" w:hAnsi="Arial" w:cs="Arial"/>
                <w:color w:val="0000FF"/>
                <w:sz w:val="20"/>
                <w:szCs w:val="20"/>
              </w:rPr>
              <w:t xml:space="preserve">  i.e… Mention the forms must be approved by at least a Division Director or above for all late filings.)</w:t>
            </w:r>
          </w:p>
          <w:p w14:paraId="4231CD44" w14:textId="77777777" w:rsidR="001C7FF7" w:rsidRPr="00AF6F88" w:rsidRDefault="001C7FF7" w:rsidP="00230F11">
            <w:pPr>
              <w:spacing w:before="60" w:after="60"/>
              <w:ind w:left="430" w:hanging="430"/>
              <w:rPr>
                <w:rFonts w:ascii="Arial" w:hAnsi="Arial" w:cs="Arial"/>
                <w:sz w:val="20"/>
                <w:szCs w:val="20"/>
              </w:rPr>
            </w:pPr>
            <w:r w:rsidRPr="00677E04">
              <w:rPr>
                <w:rFonts w:ascii="Arial" w:hAnsi="Arial" w:cs="Arial"/>
                <w:b/>
                <w:bCs/>
                <w:sz w:val="20"/>
                <w:szCs w:val="20"/>
              </w:rPr>
              <w:tab/>
              <w:t xml:space="preserve">If the filing is “late” (where the </w:t>
            </w:r>
            <w:r>
              <w:rPr>
                <w:rFonts w:ascii="Arial" w:hAnsi="Arial" w:cs="Arial"/>
                <w:b/>
                <w:bCs/>
                <w:sz w:val="20"/>
                <w:szCs w:val="20"/>
              </w:rPr>
              <w:t>purchase</w:t>
            </w:r>
            <w:r w:rsidRPr="00677E04">
              <w:rPr>
                <w:rFonts w:ascii="Arial" w:hAnsi="Arial" w:cs="Arial"/>
                <w:b/>
                <w:bCs/>
                <w:sz w:val="20"/>
                <w:szCs w:val="20"/>
              </w:rPr>
              <w:t xml:space="preserve"> start date is less than </w:t>
            </w:r>
            <w:r>
              <w:rPr>
                <w:rFonts w:ascii="Arial" w:hAnsi="Arial" w:cs="Arial"/>
                <w:b/>
                <w:bCs/>
                <w:sz w:val="20"/>
                <w:szCs w:val="20"/>
              </w:rPr>
              <w:t>20</w:t>
            </w:r>
            <w:r w:rsidRPr="00677E04">
              <w:rPr>
                <w:rFonts w:ascii="Arial" w:hAnsi="Arial" w:cs="Arial"/>
                <w:b/>
                <w:bCs/>
                <w:sz w:val="20"/>
                <w:szCs w:val="20"/>
              </w:rPr>
              <w:t xml:space="preserve"> business days from date sent to </w:t>
            </w:r>
            <w:r>
              <w:rPr>
                <w:rFonts w:ascii="Arial" w:hAnsi="Arial" w:cs="Arial"/>
                <w:b/>
                <w:bCs/>
                <w:sz w:val="20"/>
                <w:szCs w:val="20"/>
              </w:rPr>
              <w:t>CPU</w:t>
            </w:r>
            <w:r w:rsidRPr="00677E04">
              <w:rPr>
                <w:rFonts w:ascii="Arial" w:hAnsi="Arial" w:cs="Arial"/>
                <w:b/>
                <w:bCs/>
                <w:sz w:val="20"/>
                <w:szCs w:val="20"/>
              </w:rPr>
              <w:t xml:space="preserve"> for review, approval, and submission to DES), you must also complete and attach the Late Filing Justification form.</w:t>
            </w:r>
          </w:p>
        </w:tc>
      </w:tr>
    </w:tbl>
    <w:p w14:paraId="2EDEB477" w14:textId="2258427D" w:rsidR="00A62FE3" w:rsidRDefault="00A62FE3" w:rsidP="00A62FE3">
      <w:pPr>
        <w:spacing w:before="120"/>
        <w:ind w:left="430" w:hanging="430"/>
        <w:rPr>
          <w:rFonts w:ascii="Arial" w:hAnsi="Arial" w:cs="Arial"/>
          <w:sz w:val="20"/>
          <w:szCs w:val="20"/>
        </w:rPr>
      </w:pPr>
      <w:r>
        <w:rPr>
          <w:rFonts w:ascii="Arial" w:hAnsi="Arial" w:cs="Arial"/>
          <w:sz w:val="20"/>
          <w:szCs w:val="20"/>
        </w:rPr>
        <w:fldChar w:fldCharType="begin">
          <w:ffData>
            <w:name w:val="Check4"/>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This purchase is exempt from Sole Source filing.</w:t>
      </w:r>
    </w:p>
    <w:p w14:paraId="083DD08A" w14:textId="0E46CC6F" w:rsidR="00774857" w:rsidRDefault="00774857" w:rsidP="00A62FE3">
      <w:pPr>
        <w:spacing w:before="120"/>
        <w:ind w:left="430" w:hanging="430"/>
        <w:rPr>
          <w:rFonts w:ascii="Arial" w:hAnsi="Arial" w:cs="Arial"/>
          <w:sz w:val="20"/>
          <w:szCs w:val="20"/>
        </w:rPr>
      </w:pPr>
      <w:r>
        <w:rPr>
          <w:rFonts w:ascii="Arial" w:hAnsi="Arial" w:cs="Arial"/>
          <w:sz w:val="20"/>
          <w:szCs w:val="20"/>
        </w:rPr>
        <w:tab/>
        <w:t>The following exemption applies: _____________</w:t>
      </w:r>
    </w:p>
    <w:p w14:paraId="7BD4CBF6" w14:textId="073CAD18" w:rsidR="00774857" w:rsidRDefault="00774857" w:rsidP="00A62FE3">
      <w:pPr>
        <w:spacing w:before="120"/>
        <w:ind w:left="430" w:hanging="430"/>
        <w:rPr>
          <w:rFonts w:ascii="Arial" w:hAnsi="Arial" w:cs="Arial"/>
          <w:sz w:val="20"/>
          <w:szCs w:val="20"/>
        </w:rPr>
      </w:pPr>
      <w:r>
        <w:rPr>
          <w:rFonts w:ascii="Arial" w:hAnsi="Arial" w:cs="Arial"/>
          <w:sz w:val="20"/>
          <w:szCs w:val="20"/>
        </w:rPr>
        <w:tab/>
        <w:t>This purchase does not need to be filed as a sole source.</w:t>
      </w:r>
    </w:p>
    <w:p w14:paraId="69FAD172" w14:textId="183FC440" w:rsidR="00774857" w:rsidRDefault="00774857" w:rsidP="00A62FE3">
      <w:pPr>
        <w:spacing w:before="120"/>
        <w:ind w:left="430" w:hanging="430"/>
        <w:rPr>
          <w:rFonts w:ascii="Arial" w:hAnsi="Arial" w:cs="Arial"/>
          <w:sz w:val="20"/>
          <w:szCs w:val="20"/>
        </w:rPr>
      </w:pPr>
      <w:r>
        <w:rPr>
          <w:rFonts w:ascii="Arial" w:hAnsi="Arial" w:cs="Arial"/>
          <w:sz w:val="20"/>
          <w:szCs w:val="20"/>
        </w:rPr>
        <w:tab/>
        <w:t>Completed by: __________________</w:t>
      </w:r>
    </w:p>
    <w:p w14:paraId="1A55FF01" w14:textId="266469FF" w:rsidR="00774857" w:rsidRDefault="00774857" w:rsidP="00A62FE3">
      <w:pPr>
        <w:spacing w:before="120"/>
        <w:ind w:left="430" w:hanging="430"/>
        <w:rPr>
          <w:rFonts w:ascii="Arial" w:hAnsi="Arial" w:cs="Arial"/>
          <w:sz w:val="20"/>
          <w:szCs w:val="20"/>
        </w:rPr>
      </w:pPr>
      <w:r>
        <w:rPr>
          <w:rFonts w:ascii="Arial" w:hAnsi="Arial" w:cs="Arial"/>
          <w:sz w:val="20"/>
          <w:szCs w:val="20"/>
        </w:rPr>
        <w:tab/>
        <w:t>Date: _______________</w:t>
      </w:r>
    </w:p>
    <w:p w14:paraId="103288DE" w14:textId="77777777" w:rsidR="001C7FF7" w:rsidRDefault="001C7FF7" w:rsidP="001C7FF7">
      <w:pPr>
        <w:tabs>
          <w:tab w:val="left" w:pos="2150"/>
        </w:tabs>
      </w:pPr>
      <w:r>
        <w:lastRenderedPageBreak/>
        <w:tab/>
      </w:r>
    </w:p>
    <w:p w14:paraId="330B633E" w14:textId="28AD63BD" w:rsidR="001C05A2" w:rsidRDefault="001C05A2"/>
    <w:sectPr w:rsidR="001C05A2" w:rsidSect="001C7FF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B776" w14:textId="77777777" w:rsidR="00636E64" w:rsidRDefault="00636E64">
      <w:pPr>
        <w:spacing w:after="0" w:line="240" w:lineRule="auto"/>
      </w:pPr>
      <w:r>
        <w:separator/>
      </w:r>
    </w:p>
  </w:endnote>
  <w:endnote w:type="continuationSeparator" w:id="0">
    <w:p w14:paraId="0892ECAE" w14:textId="77777777" w:rsidR="00636E64" w:rsidRDefault="0063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616900"/>
      <w:docPartObj>
        <w:docPartGallery w:val="Page Numbers (Top of Page)"/>
        <w:docPartUnique/>
      </w:docPartObj>
    </w:sdtPr>
    <w:sdtEndPr/>
    <w:sdtContent>
      <w:p w14:paraId="501680D5" w14:textId="77777777" w:rsidR="001C7FF7" w:rsidRDefault="001C7FF7" w:rsidP="00E10543">
        <w:pPr>
          <w:pStyle w:val="Footer"/>
          <w:tabs>
            <w:tab w:val="clear" w:pos="4680"/>
            <w:tab w:val="clear" w:pos="9360"/>
            <w:tab w:val="right" w:pos="10800"/>
          </w:tabs>
          <w:rPr>
            <w:rFonts w:ascii="Arial" w:hAnsi="Arial" w:cs="Arial"/>
            <w:b/>
            <w:bCs/>
            <w:sz w:val="16"/>
            <w:szCs w:val="16"/>
          </w:rPr>
        </w:pPr>
        <w:r>
          <w:rPr>
            <w:rFonts w:ascii="Arial" w:hAnsi="Arial" w:cs="Arial"/>
            <w:b/>
            <w:bCs/>
            <w:sz w:val="16"/>
            <w:szCs w:val="16"/>
          </w:rPr>
          <w:t>SOLE SOURCE PURCHASE JUSTIFICATION</w:t>
        </w:r>
      </w:p>
      <w:p w14:paraId="0A5959C0" w14:textId="77777777" w:rsidR="001C7FF7" w:rsidRPr="00230F11" w:rsidRDefault="001C7FF7" w:rsidP="00E10543">
        <w:pPr>
          <w:pStyle w:val="Footer"/>
          <w:tabs>
            <w:tab w:val="clear" w:pos="4680"/>
            <w:tab w:val="clear" w:pos="9360"/>
            <w:tab w:val="right" w:pos="10800"/>
          </w:tabs>
          <w:rPr>
            <w:rFonts w:ascii="Arial" w:hAnsi="Arial" w:cs="Arial"/>
            <w:b/>
            <w:bCs/>
            <w:sz w:val="16"/>
            <w:szCs w:val="16"/>
          </w:rPr>
        </w:pPr>
        <w:r>
          <w:rPr>
            <w:rFonts w:ascii="Arial" w:hAnsi="Arial" w:cs="Arial"/>
            <w:b/>
            <w:bCs/>
            <w:sz w:val="16"/>
            <w:szCs w:val="16"/>
          </w:rPr>
          <w:t>Revised 8-16-2024</w:t>
        </w:r>
        <w:r>
          <w:rPr>
            <w:rFonts w:ascii="Arial" w:hAnsi="Arial" w:cs="Arial"/>
            <w:b/>
            <w:bCs/>
            <w:sz w:val="16"/>
            <w:szCs w:val="16"/>
          </w:rPr>
          <w:tab/>
        </w:r>
        <w:r w:rsidRPr="00D377E9">
          <w:rPr>
            <w:rFonts w:ascii="Arial" w:hAnsi="Arial" w:cs="Arial"/>
            <w:sz w:val="20"/>
            <w:szCs w:val="20"/>
          </w:rPr>
          <w:t xml:space="preserve">Page </w:t>
        </w:r>
        <w:r w:rsidRPr="00D377E9">
          <w:rPr>
            <w:rFonts w:ascii="Arial" w:hAnsi="Arial" w:cs="Arial"/>
            <w:sz w:val="20"/>
            <w:szCs w:val="20"/>
          </w:rPr>
          <w:fldChar w:fldCharType="begin"/>
        </w:r>
        <w:r w:rsidRPr="00D377E9">
          <w:rPr>
            <w:rFonts w:ascii="Arial" w:hAnsi="Arial" w:cs="Arial"/>
            <w:sz w:val="20"/>
            <w:szCs w:val="20"/>
          </w:rPr>
          <w:instrText xml:space="preserve"> PAGE </w:instrText>
        </w:r>
        <w:r w:rsidRPr="00D377E9">
          <w:rPr>
            <w:rFonts w:ascii="Arial" w:hAnsi="Arial" w:cs="Arial"/>
            <w:sz w:val="20"/>
            <w:szCs w:val="20"/>
          </w:rPr>
          <w:fldChar w:fldCharType="separate"/>
        </w:r>
        <w:r>
          <w:rPr>
            <w:rFonts w:ascii="Arial" w:hAnsi="Arial" w:cs="Arial"/>
            <w:sz w:val="20"/>
            <w:szCs w:val="20"/>
          </w:rPr>
          <w:t>4</w:t>
        </w:r>
        <w:r w:rsidRPr="00D377E9">
          <w:rPr>
            <w:rFonts w:ascii="Arial" w:hAnsi="Arial" w:cs="Arial"/>
            <w:sz w:val="20"/>
            <w:szCs w:val="20"/>
          </w:rPr>
          <w:fldChar w:fldCharType="end"/>
        </w:r>
        <w:r w:rsidRPr="00D377E9">
          <w:rPr>
            <w:rFonts w:ascii="Arial" w:hAnsi="Arial" w:cs="Arial"/>
            <w:sz w:val="20"/>
            <w:szCs w:val="20"/>
          </w:rPr>
          <w:t xml:space="preserve"> of </w:t>
        </w:r>
        <w:r w:rsidRPr="00D377E9">
          <w:rPr>
            <w:rFonts w:ascii="Arial" w:hAnsi="Arial" w:cs="Arial"/>
            <w:sz w:val="20"/>
            <w:szCs w:val="20"/>
          </w:rPr>
          <w:fldChar w:fldCharType="begin"/>
        </w:r>
        <w:r w:rsidRPr="00D377E9">
          <w:rPr>
            <w:rFonts w:ascii="Arial" w:hAnsi="Arial" w:cs="Arial"/>
            <w:sz w:val="20"/>
            <w:szCs w:val="20"/>
          </w:rPr>
          <w:instrText xml:space="preserve"> NUMPAGES  </w:instrText>
        </w:r>
        <w:r w:rsidRPr="00D377E9">
          <w:rPr>
            <w:rFonts w:ascii="Arial" w:hAnsi="Arial" w:cs="Arial"/>
            <w:sz w:val="20"/>
            <w:szCs w:val="20"/>
          </w:rPr>
          <w:fldChar w:fldCharType="separate"/>
        </w:r>
        <w:r>
          <w:rPr>
            <w:rFonts w:ascii="Arial" w:hAnsi="Arial" w:cs="Arial"/>
            <w:sz w:val="20"/>
            <w:szCs w:val="20"/>
          </w:rPr>
          <w:t>4</w:t>
        </w:r>
        <w:r w:rsidRPr="00D377E9">
          <w:rPr>
            <w:rFonts w:ascii="Arial" w:hAnsi="Arial" w:cs="Arial"/>
            <w:sz w:val="20"/>
            <w:szCs w:val="20"/>
          </w:rPr>
          <w:fldChar w:fldCharType="end"/>
        </w:r>
      </w:p>
      <w:p w14:paraId="20D4E395" w14:textId="77777777" w:rsidR="001C7FF7" w:rsidRDefault="00636E64" w:rsidP="00E10543">
        <w:pPr>
          <w:pStyle w:val="Footer"/>
          <w:tabs>
            <w:tab w:val="clear" w:pos="4680"/>
            <w:tab w:val="clear" w:pos="9360"/>
            <w:tab w:val="right" w:pos="10800"/>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C2C5" w14:textId="77777777" w:rsidR="00636E64" w:rsidRDefault="00636E64">
      <w:pPr>
        <w:spacing w:after="0" w:line="240" w:lineRule="auto"/>
      </w:pPr>
      <w:r>
        <w:separator/>
      </w:r>
    </w:p>
  </w:footnote>
  <w:footnote w:type="continuationSeparator" w:id="0">
    <w:p w14:paraId="7E363E85" w14:textId="77777777" w:rsidR="00636E64" w:rsidRDefault="0063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476BBD"/>
    <w:multiLevelType w:val="hybridMultilevel"/>
    <w:tmpl w:val="A29CB4B0"/>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9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F7"/>
    <w:rsid w:val="00010301"/>
    <w:rsid w:val="00036C37"/>
    <w:rsid w:val="00094AA3"/>
    <w:rsid w:val="00114161"/>
    <w:rsid w:val="00157CB9"/>
    <w:rsid w:val="0017559A"/>
    <w:rsid w:val="001C05A2"/>
    <w:rsid w:val="001C7FF7"/>
    <w:rsid w:val="001E1987"/>
    <w:rsid w:val="00211910"/>
    <w:rsid w:val="00282920"/>
    <w:rsid w:val="00365A95"/>
    <w:rsid w:val="003A13AB"/>
    <w:rsid w:val="003D0000"/>
    <w:rsid w:val="00410DA4"/>
    <w:rsid w:val="00414EC4"/>
    <w:rsid w:val="004239CC"/>
    <w:rsid w:val="00456BF2"/>
    <w:rsid w:val="00494578"/>
    <w:rsid w:val="00542A2F"/>
    <w:rsid w:val="00570D10"/>
    <w:rsid w:val="00586A99"/>
    <w:rsid w:val="0059617D"/>
    <w:rsid w:val="006159BD"/>
    <w:rsid w:val="006228E6"/>
    <w:rsid w:val="00622AC4"/>
    <w:rsid w:val="00624F90"/>
    <w:rsid w:val="00636E64"/>
    <w:rsid w:val="006402F3"/>
    <w:rsid w:val="00673000"/>
    <w:rsid w:val="00683D20"/>
    <w:rsid w:val="0068712F"/>
    <w:rsid w:val="00692BFD"/>
    <w:rsid w:val="006C4F41"/>
    <w:rsid w:val="006C5B1F"/>
    <w:rsid w:val="00705734"/>
    <w:rsid w:val="0073624D"/>
    <w:rsid w:val="00736753"/>
    <w:rsid w:val="007402DF"/>
    <w:rsid w:val="00755AF1"/>
    <w:rsid w:val="007731F0"/>
    <w:rsid w:val="00774857"/>
    <w:rsid w:val="00781F9D"/>
    <w:rsid w:val="007B37D1"/>
    <w:rsid w:val="007D4151"/>
    <w:rsid w:val="007F4AA3"/>
    <w:rsid w:val="007F5DE3"/>
    <w:rsid w:val="0081191D"/>
    <w:rsid w:val="00816340"/>
    <w:rsid w:val="008461F6"/>
    <w:rsid w:val="00851656"/>
    <w:rsid w:val="00853BE9"/>
    <w:rsid w:val="0086262D"/>
    <w:rsid w:val="008B2707"/>
    <w:rsid w:val="008B6FB4"/>
    <w:rsid w:val="008D3E07"/>
    <w:rsid w:val="008E1F53"/>
    <w:rsid w:val="008E6CF8"/>
    <w:rsid w:val="009416A8"/>
    <w:rsid w:val="00944CFE"/>
    <w:rsid w:val="00987262"/>
    <w:rsid w:val="009973B5"/>
    <w:rsid w:val="009A00BD"/>
    <w:rsid w:val="009C6383"/>
    <w:rsid w:val="00A376B5"/>
    <w:rsid w:val="00A62FE3"/>
    <w:rsid w:val="00A73464"/>
    <w:rsid w:val="00AD2C44"/>
    <w:rsid w:val="00B333FD"/>
    <w:rsid w:val="00B602E2"/>
    <w:rsid w:val="00BB066B"/>
    <w:rsid w:val="00BC343F"/>
    <w:rsid w:val="00BE4A7A"/>
    <w:rsid w:val="00BF0D76"/>
    <w:rsid w:val="00C00568"/>
    <w:rsid w:val="00C43604"/>
    <w:rsid w:val="00C73C33"/>
    <w:rsid w:val="00C857E0"/>
    <w:rsid w:val="00CE585A"/>
    <w:rsid w:val="00D3351E"/>
    <w:rsid w:val="00D35E01"/>
    <w:rsid w:val="00D52AF8"/>
    <w:rsid w:val="00DD3CD7"/>
    <w:rsid w:val="00E04884"/>
    <w:rsid w:val="00E14D35"/>
    <w:rsid w:val="00E34A7B"/>
    <w:rsid w:val="00E46528"/>
    <w:rsid w:val="00E505CF"/>
    <w:rsid w:val="00E51337"/>
    <w:rsid w:val="00EB6CE0"/>
    <w:rsid w:val="00F138CA"/>
    <w:rsid w:val="00F61CC6"/>
    <w:rsid w:val="00FE3EA3"/>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99987"/>
  <w15:chartTrackingRefBased/>
  <w15:docId w15:val="{C1418658-2BC2-491C-9050-35BD0D26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F7"/>
  </w:style>
  <w:style w:type="paragraph" w:styleId="Heading1">
    <w:name w:val="heading 1"/>
    <w:basedOn w:val="Normal"/>
    <w:next w:val="Normal"/>
    <w:link w:val="Heading1Char"/>
    <w:uiPriority w:val="9"/>
    <w:qFormat/>
    <w:rsid w:val="001C7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F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F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F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F7"/>
    <w:rPr>
      <w:rFonts w:eastAsiaTheme="majorEastAsia" w:cstheme="majorBidi"/>
      <w:color w:val="272727" w:themeColor="text1" w:themeTint="D8"/>
    </w:rPr>
  </w:style>
  <w:style w:type="paragraph" w:styleId="Title">
    <w:name w:val="Title"/>
    <w:basedOn w:val="Normal"/>
    <w:next w:val="Normal"/>
    <w:link w:val="TitleChar"/>
    <w:uiPriority w:val="10"/>
    <w:qFormat/>
    <w:rsid w:val="001C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F7"/>
    <w:pPr>
      <w:spacing w:before="160"/>
      <w:jc w:val="center"/>
    </w:pPr>
    <w:rPr>
      <w:i/>
      <w:iCs/>
      <w:color w:val="404040" w:themeColor="text1" w:themeTint="BF"/>
    </w:rPr>
  </w:style>
  <w:style w:type="character" w:customStyle="1" w:styleId="QuoteChar">
    <w:name w:val="Quote Char"/>
    <w:basedOn w:val="DefaultParagraphFont"/>
    <w:link w:val="Quote"/>
    <w:uiPriority w:val="29"/>
    <w:rsid w:val="001C7FF7"/>
    <w:rPr>
      <w:i/>
      <w:iCs/>
      <w:color w:val="404040" w:themeColor="text1" w:themeTint="BF"/>
    </w:rPr>
  </w:style>
  <w:style w:type="paragraph" w:styleId="ListParagraph">
    <w:name w:val="List Paragraph"/>
    <w:basedOn w:val="Normal"/>
    <w:uiPriority w:val="34"/>
    <w:qFormat/>
    <w:rsid w:val="001C7FF7"/>
    <w:pPr>
      <w:ind w:left="720"/>
      <w:contextualSpacing/>
    </w:pPr>
  </w:style>
  <w:style w:type="character" w:styleId="IntenseEmphasis">
    <w:name w:val="Intense Emphasis"/>
    <w:basedOn w:val="DefaultParagraphFont"/>
    <w:uiPriority w:val="21"/>
    <w:qFormat/>
    <w:rsid w:val="001C7FF7"/>
    <w:rPr>
      <w:i/>
      <w:iCs/>
      <w:color w:val="0F4761" w:themeColor="accent1" w:themeShade="BF"/>
    </w:rPr>
  </w:style>
  <w:style w:type="paragraph" w:styleId="IntenseQuote">
    <w:name w:val="Intense Quote"/>
    <w:basedOn w:val="Normal"/>
    <w:next w:val="Normal"/>
    <w:link w:val="IntenseQuoteChar"/>
    <w:uiPriority w:val="30"/>
    <w:qFormat/>
    <w:rsid w:val="001C7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FF7"/>
    <w:rPr>
      <w:i/>
      <w:iCs/>
      <w:color w:val="0F4761" w:themeColor="accent1" w:themeShade="BF"/>
    </w:rPr>
  </w:style>
  <w:style w:type="character" w:styleId="IntenseReference">
    <w:name w:val="Intense Reference"/>
    <w:basedOn w:val="DefaultParagraphFont"/>
    <w:uiPriority w:val="32"/>
    <w:qFormat/>
    <w:rsid w:val="001C7FF7"/>
    <w:rPr>
      <w:b/>
      <w:bCs/>
      <w:smallCaps/>
      <w:color w:val="0F4761" w:themeColor="accent1" w:themeShade="BF"/>
      <w:spacing w:val="5"/>
    </w:rPr>
  </w:style>
  <w:style w:type="table" w:styleId="TableGrid">
    <w:name w:val="Table Grid"/>
    <w:basedOn w:val="TableNormal"/>
    <w:uiPriority w:val="39"/>
    <w:rsid w:val="001C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7F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C7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FF7"/>
  </w:style>
  <w:style w:type="character" w:styleId="CommentReference">
    <w:name w:val="annotation reference"/>
    <w:basedOn w:val="DefaultParagraphFont"/>
    <w:uiPriority w:val="99"/>
    <w:semiHidden/>
    <w:unhideWhenUsed/>
    <w:rsid w:val="001C7FF7"/>
    <w:rPr>
      <w:sz w:val="16"/>
      <w:szCs w:val="16"/>
    </w:rPr>
  </w:style>
  <w:style w:type="paragraph" w:styleId="CommentText">
    <w:name w:val="annotation text"/>
    <w:basedOn w:val="Normal"/>
    <w:link w:val="CommentTextChar"/>
    <w:uiPriority w:val="99"/>
    <w:unhideWhenUsed/>
    <w:rsid w:val="001C7FF7"/>
    <w:pPr>
      <w:spacing w:line="240" w:lineRule="auto"/>
    </w:pPr>
    <w:rPr>
      <w:sz w:val="20"/>
      <w:szCs w:val="20"/>
    </w:rPr>
  </w:style>
  <w:style w:type="character" w:customStyle="1" w:styleId="CommentTextChar">
    <w:name w:val="Comment Text Char"/>
    <w:basedOn w:val="DefaultParagraphFont"/>
    <w:link w:val="CommentText"/>
    <w:uiPriority w:val="99"/>
    <w:rsid w:val="001C7FF7"/>
    <w:rPr>
      <w:sz w:val="20"/>
      <w:szCs w:val="20"/>
    </w:rPr>
  </w:style>
  <w:style w:type="paragraph" w:styleId="Revision">
    <w:name w:val="Revision"/>
    <w:hidden/>
    <w:uiPriority w:val="99"/>
    <w:semiHidden/>
    <w:rsid w:val="001C7F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7.png@01DC47E3.0BE0754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cid:image008.png@01DC47E3.5111EDB0"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png@01DC47E3.0BE07540" TargetMode="External"/><Relationship Id="rId5" Type="http://schemas.openxmlformats.org/officeDocument/2006/relationships/footnotes" Target="footnotes.xml"/><Relationship Id="rId15" Type="http://schemas.openxmlformats.org/officeDocument/2006/relationships/image" Target="cid:image001.png@01DC47E3.5111EDB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2.png@01DC47E1.B7173F40"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7</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DSHS TSD</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Zane (DSHS/FFA)</dc:creator>
  <cp:keywords/>
  <dc:description/>
  <cp:lastModifiedBy>Scott, Zane (DSHS/FTAA/CPBC)</cp:lastModifiedBy>
  <cp:revision>9</cp:revision>
  <dcterms:created xsi:type="dcterms:W3CDTF">2025-10-28T16:35:00Z</dcterms:created>
  <dcterms:modified xsi:type="dcterms:W3CDTF">2025-10-29T21:12:00Z</dcterms:modified>
</cp:coreProperties>
</file>