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3"/>
        <w:gridCol w:w="714"/>
        <w:gridCol w:w="2166"/>
        <w:gridCol w:w="1440"/>
        <w:gridCol w:w="1704"/>
        <w:gridCol w:w="3066"/>
        <w:gridCol w:w="797"/>
      </w:tblGrid>
      <w:tr w:rsidR="0093319D" w:rsidTr="00EF2B8B">
        <w:trPr>
          <w:tblHeader/>
        </w:trPr>
        <w:tc>
          <w:tcPr>
            <w:tcW w:w="10790" w:type="dxa"/>
            <w:gridSpan w:val="7"/>
            <w:tcBorders>
              <w:top w:val="nil"/>
              <w:left w:val="nil"/>
              <w:bottom w:val="nil"/>
              <w:right w:val="nil"/>
            </w:tcBorders>
          </w:tcPr>
          <w:p w:rsidR="0093319D" w:rsidRDefault="0093319D" w:rsidP="0093319D">
            <w:pPr>
              <w:jc w:val="right"/>
              <w:rPr>
                <w:rFonts w:ascii="Arial" w:hAnsi="Arial" w:cs="Arial"/>
                <w:sz w:val="20"/>
                <w:szCs w:val="20"/>
              </w:rPr>
            </w:pPr>
            <w:r>
              <w:rPr>
                <w:rFonts w:ascii="Arial" w:hAnsi="Arial" w:cs="Arial"/>
                <w:sz w:val="20"/>
                <w:szCs w:val="20"/>
              </w:rPr>
              <w:t>Attachment</w:t>
            </w:r>
            <w:r w:rsidR="0092698C">
              <w:rPr>
                <w:rFonts w:ascii="Arial" w:hAnsi="Arial" w:cs="Arial"/>
                <w:sz w:val="20"/>
                <w:szCs w:val="20"/>
              </w:rPr>
              <w:t xml:space="preserve"> G</w:t>
            </w:r>
            <w:r>
              <w:rPr>
                <w:rFonts w:ascii="Arial" w:hAnsi="Arial" w:cs="Arial"/>
                <w:sz w:val="20"/>
                <w:szCs w:val="20"/>
              </w:rPr>
              <w:t xml:space="preserve"> </w:t>
            </w:r>
          </w:p>
        </w:tc>
      </w:tr>
      <w:tr w:rsidR="001713EB" w:rsidTr="00EF2B8B">
        <w:trPr>
          <w:trHeight w:val="836"/>
          <w:tblHeader/>
        </w:trPr>
        <w:tc>
          <w:tcPr>
            <w:tcW w:w="1617" w:type="dxa"/>
            <w:gridSpan w:val="2"/>
            <w:vMerge w:val="restart"/>
            <w:tcBorders>
              <w:top w:val="nil"/>
              <w:left w:val="nil"/>
              <w:right w:val="nil"/>
            </w:tcBorders>
          </w:tcPr>
          <w:p w:rsidR="001713EB" w:rsidRDefault="001713EB">
            <w:pPr>
              <w:rPr>
                <w:rFonts w:ascii="Arial" w:hAnsi="Arial" w:cs="Arial"/>
                <w:sz w:val="20"/>
                <w:szCs w:val="20"/>
              </w:rPr>
            </w:pPr>
            <w:r>
              <w:rPr>
                <w:rFonts w:ascii="Arial" w:hAnsi="Arial" w:cs="Arial"/>
                <w:noProof/>
                <w:sz w:val="20"/>
                <w:szCs w:val="20"/>
              </w:rPr>
              <w:drawing>
                <wp:inline distT="0" distB="0" distL="0" distR="0" wp14:anchorId="73FC3708" wp14:editId="2DD8324E">
                  <wp:extent cx="833407" cy="4795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363" cy="515809"/>
                          </a:xfrm>
                          <a:prstGeom prst="rect">
                            <a:avLst/>
                          </a:prstGeom>
                        </pic:spPr>
                      </pic:pic>
                    </a:graphicData>
                  </a:graphic>
                </wp:inline>
              </w:drawing>
            </w:r>
          </w:p>
        </w:tc>
        <w:tc>
          <w:tcPr>
            <w:tcW w:w="5310" w:type="dxa"/>
            <w:gridSpan w:val="3"/>
            <w:vMerge w:val="restart"/>
            <w:tcBorders>
              <w:top w:val="nil"/>
              <w:left w:val="nil"/>
              <w:right w:val="single" w:sz="4" w:space="0" w:color="auto"/>
            </w:tcBorders>
            <w:vAlign w:val="center"/>
          </w:tcPr>
          <w:p w:rsidR="001713EB" w:rsidRPr="009374A2" w:rsidRDefault="001713EB" w:rsidP="001713EB">
            <w:pPr>
              <w:jc w:val="center"/>
              <w:rPr>
                <w:rFonts w:ascii="Arial" w:hAnsi="Arial" w:cs="Arial"/>
                <w:sz w:val="16"/>
                <w:szCs w:val="16"/>
              </w:rPr>
            </w:pPr>
            <w:r w:rsidRPr="009374A2">
              <w:rPr>
                <w:rFonts w:ascii="Arial" w:hAnsi="Arial" w:cs="Arial"/>
                <w:sz w:val="16"/>
                <w:szCs w:val="16"/>
              </w:rPr>
              <w:t>AGING AND LONG-TERM SUPPORTADMINISTRATION (ALTSA)</w:t>
            </w:r>
          </w:p>
          <w:p w:rsidR="001713EB" w:rsidRPr="009374A2" w:rsidRDefault="007502CD" w:rsidP="001713EB">
            <w:pPr>
              <w:jc w:val="center"/>
              <w:rPr>
                <w:rFonts w:ascii="Arial" w:hAnsi="Arial" w:cs="Arial"/>
                <w:b/>
                <w:sz w:val="28"/>
                <w:szCs w:val="28"/>
              </w:rPr>
            </w:pPr>
            <w:r>
              <w:rPr>
                <w:rFonts w:ascii="Arial" w:hAnsi="Arial" w:cs="Arial"/>
                <w:b/>
                <w:sz w:val="28"/>
                <w:szCs w:val="28"/>
              </w:rPr>
              <w:t xml:space="preserve">Trust Fund </w:t>
            </w:r>
            <w:r w:rsidR="001713EB">
              <w:rPr>
                <w:rFonts w:ascii="Arial" w:hAnsi="Arial" w:cs="Arial"/>
                <w:b/>
                <w:sz w:val="28"/>
                <w:szCs w:val="28"/>
              </w:rPr>
              <w:t>Review</w:t>
            </w:r>
          </w:p>
          <w:p w:rsidR="001713EB" w:rsidRDefault="001713EB" w:rsidP="001713EB">
            <w:pPr>
              <w:spacing w:before="120"/>
              <w:rPr>
                <w:rFonts w:ascii="Arial" w:hAnsi="Arial" w:cs="Arial"/>
                <w:sz w:val="20"/>
                <w:szCs w:val="20"/>
              </w:rPr>
            </w:pPr>
            <w:r>
              <w:rPr>
                <w:rFonts w:ascii="Arial" w:hAnsi="Arial" w:cs="Arial"/>
                <w:sz w:val="20"/>
                <w:szCs w:val="20"/>
              </w:rPr>
              <w:t>For use during Recertification Surveys of Nursing Homes</w:t>
            </w:r>
          </w:p>
        </w:tc>
        <w:tc>
          <w:tcPr>
            <w:tcW w:w="3863" w:type="dxa"/>
            <w:gridSpan w:val="2"/>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FACILITY NAME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bookmarkStart w:id="0" w:name="_GoBack"/>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bookmarkEnd w:id="0"/>
            <w:r w:rsidRPr="009374A2">
              <w:rPr>
                <w:rFonts w:ascii="Times New Roman" w:hAnsi="Times New Roman" w:cs="Times New Roman"/>
                <w:b/>
                <w:sz w:val="24"/>
                <w:szCs w:val="24"/>
              </w:rPr>
              <w:fldChar w:fldCharType="end"/>
            </w:r>
          </w:p>
        </w:tc>
      </w:tr>
      <w:tr w:rsidR="001713EB" w:rsidTr="00676F10">
        <w:trPr>
          <w:trHeight w:hRule="exact" w:val="518"/>
          <w:tblHeader/>
        </w:trPr>
        <w:tc>
          <w:tcPr>
            <w:tcW w:w="1617" w:type="dxa"/>
            <w:gridSpan w:val="2"/>
            <w:vMerge/>
            <w:tcBorders>
              <w:left w:val="nil"/>
              <w:right w:val="nil"/>
            </w:tcBorders>
          </w:tcPr>
          <w:p w:rsidR="001713EB" w:rsidRDefault="001713EB">
            <w:pPr>
              <w:rPr>
                <w:rFonts w:ascii="Arial" w:hAnsi="Arial" w:cs="Arial"/>
                <w:noProof/>
                <w:sz w:val="20"/>
                <w:szCs w:val="20"/>
              </w:rPr>
            </w:pPr>
          </w:p>
        </w:tc>
        <w:tc>
          <w:tcPr>
            <w:tcW w:w="5310" w:type="dxa"/>
            <w:gridSpan w:val="3"/>
            <w:vMerge/>
            <w:tcBorders>
              <w:left w:val="nil"/>
              <w:right w:val="single" w:sz="4" w:space="0" w:color="auto"/>
            </w:tcBorders>
          </w:tcPr>
          <w:p w:rsidR="001713EB" w:rsidRPr="009374A2" w:rsidRDefault="001713EB" w:rsidP="001713EB">
            <w:pPr>
              <w:jc w:val="center"/>
              <w:rPr>
                <w:rFonts w:ascii="Arial" w:hAnsi="Arial" w:cs="Arial"/>
                <w:sz w:val="16"/>
                <w:szCs w:val="16"/>
              </w:rPr>
            </w:pPr>
          </w:p>
        </w:tc>
        <w:tc>
          <w:tcPr>
            <w:tcW w:w="3863" w:type="dxa"/>
            <w:gridSpan w:val="2"/>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SURVEYOR’S NAME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1713EB" w:rsidTr="00676F10">
        <w:trPr>
          <w:trHeight w:hRule="exact" w:val="518"/>
          <w:tblHeader/>
        </w:trPr>
        <w:tc>
          <w:tcPr>
            <w:tcW w:w="1617" w:type="dxa"/>
            <w:gridSpan w:val="2"/>
            <w:vMerge/>
            <w:tcBorders>
              <w:left w:val="nil"/>
              <w:bottom w:val="nil"/>
              <w:right w:val="nil"/>
            </w:tcBorders>
          </w:tcPr>
          <w:p w:rsidR="001713EB" w:rsidRDefault="001713EB">
            <w:pPr>
              <w:rPr>
                <w:rFonts w:ascii="Arial" w:hAnsi="Arial" w:cs="Arial"/>
                <w:noProof/>
                <w:sz w:val="20"/>
                <w:szCs w:val="20"/>
              </w:rPr>
            </w:pPr>
          </w:p>
        </w:tc>
        <w:tc>
          <w:tcPr>
            <w:tcW w:w="5310" w:type="dxa"/>
            <w:gridSpan w:val="3"/>
            <w:vMerge/>
            <w:tcBorders>
              <w:left w:val="nil"/>
              <w:bottom w:val="nil"/>
              <w:right w:val="single" w:sz="4" w:space="0" w:color="auto"/>
            </w:tcBorders>
          </w:tcPr>
          <w:p w:rsidR="001713EB" w:rsidRPr="009374A2" w:rsidRDefault="001713EB" w:rsidP="001713EB">
            <w:pPr>
              <w:jc w:val="center"/>
              <w:rPr>
                <w:rFonts w:ascii="Arial" w:hAnsi="Arial" w:cs="Arial"/>
                <w:sz w:val="16"/>
                <w:szCs w:val="16"/>
              </w:rPr>
            </w:pPr>
          </w:p>
        </w:tc>
        <w:tc>
          <w:tcPr>
            <w:tcW w:w="3863" w:type="dxa"/>
            <w:gridSpan w:val="2"/>
            <w:tcBorders>
              <w:top w:val="single" w:sz="4" w:space="0" w:color="auto"/>
              <w:left w:val="single" w:sz="4" w:space="0" w:color="auto"/>
              <w:bottom w:val="single" w:sz="4" w:space="0" w:color="auto"/>
              <w:right w:val="single" w:sz="4" w:space="0" w:color="auto"/>
            </w:tcBorders>
          </w:tcPr>
          <w:p w:rsidR="001713EB" w:rsidRPr="009374A2" w:rsidRDefault="001713EB" w:rsidP="001713EB">
            <w:pPr>
              <w:rPr>
                <w:rFonts w:ascii="Arial" w:hAnsi="Arial" w:cs="Arial"/>
                <w:sz w:val="16"/>
                <w:szCs w:val="16"/>
              </w:rPr>
            </w:pPr>
            <w:r>
              <w:rPr>
                <w:rFonts w:ascii="Arial" w:hAnsi="Arial" w:cs="Arial"/>
                <w:sz w:val="16"/>
                <w:szCs w:val="16"/>
              </w:rPr>
              <w:t>DATE</w:t>
            </w:r>
          </w:p>
          <w:p w:rsidR="001713EB" w:rsidRDefault="001713EB" w:rsidP="001713EB">
            <w:pPr>
              <w:rPr>
                <w:rFonts w:ascii="Arial" w:hAnsi="Arial" w:cs="Arial"/>
                <w:sz w:val="20"/>
                <w:szCs w:val="20"/>
              </w:rPr>
            </w:pPr>
            <w:r w:rsidRPr="009374A2">
              <w:rPr>
                <w:rFonts w:ascii="Times New Roman" w:hAnsi="Times New Roman" w:cs="Times New Roman"/>
                <w:b/>
                <w:sz w:val="24"/>
                <w:szCs w:val="24"/>
              </w:rPr>
              <w:fldChar w:fldCharType="begin">
                <w:ffData>
                  <w:name w:val="Text1"/>
                  <w:enabled/>
                  <w:calcOnExit w:val="0"/>
                  <w:textInput/>
                </w:ffData>
              </w:fldChar>
            </w:r>
            <w:r w:rsidRPr="009374A2">
              <w:rPr>
                <w:rFonts w:ascii="Times New Roman" w:hAnsi="Times New Roman" w:cs="Times New Roman"/>
                <w:b/>
                <w:sz w:val="24"/>
                <w:szCs w:val="24"/>
              </w:rPr>
              <w:instrText xml:space="preserve"> FORMTEXT </w:instrText>
            </w:r>
            <w:r w:rsidRPr="009374A2">
              <w:rPr>
                <w:rFonts w:ascii="Times New Roman" w:hAnsi="Times New Roman" w:cs="Times New Roman"/>
                <w:b/>
                <w:sz w:val="24"/>
                <w:szCs w:val="24"/>
              </w:rPr>
            </w:r>
            <w:r w:rsidRPr="009374A2">
              <w:rPr>
                <w:rFonts w:ascii="Times New Roman" w:hAnsi="Times New Roman" w:cs="Times New Roman"/>
                <w:b/>
                <w:sz w:val="24"/>
                <w:szCs w:val="24"/>
              </w:rPr>
              <w:fldChar w:fldCharType="separate"/>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Pr="009374A2">
              <w:rPr>
                <w:rFonts w:ascii="Times New Roman" w:hAnsi="Times New Roman" w:cs="Times New Roman"/>
                <w:b/>
                <w:sz w:val="24"/>
                <w:szCs w:val="24"/>
              </w:rPr>
              <w:fldChar w:fldCharType="end"/>
            </w:r>
          </w:p>
        </w:tc>
      </w:tr>
      <w:tr w:rsidR="00676F10" w:rsidRPr="001E3363" w:rsidTr="00676F10">
        <w:tblPrEx>
          <w:tblCellMar>
            <w:left w:w="57" w:type="dxa"/>
            <w:right w:w="57" w:type="dxa"/>
          </w:tblCellMar>
        </w:tblPrEx>
        <w:trPr>
          <w:trHeight w:hRule="exact" w:val="72"/>
        </w:trPr>
        <w:tc>
          <w:tcPr>
            <w:tcW w:w="10790" w:type="dxa"/>
            <w:gridSpan w:val="7"/>
            <w:tcBorders>
              <w:top w:val="nil"/>
              <w:left w:val="nil"/>
              <w:bottom w:val="nil"/>
              <w:right w:val="nil"/>
            </w:tcBorders>
            <w:shd w:val="clear" w:color="auto" w:fill="auto"/>
            <w:vAlign w:val="center"/>
          </w:tcPr>
          <w:p w:rsidR="00676F10" w:rsidRPr="001E3363" w:rsidRDefault="00676F10" w:rsidP="00B024BD">
            <w:pPr>
              <w:jc w:val="center"/>
              <w:rPr>
                <w:rFonts w:ascii="Arial" w:hAnsi="Arial" w:cs="Arial"/>
                <w:b/>
                <w:sz w:val="20"/>
                <w:szCs w:val="20"/>
              </w:rPr>
            </w:pPr>
          </w:p>
        </w:tc>
      </w:tr>
      <w:tr w:rsidR="001713EB" w:rsidTr="00781845">
        <w:trPr>
          <w:gridBefore w:val="1"/>
          <w:gridAfter w:val="1"/>
          <w:wBefore w:w="903" w:type="dxa"/>
          <w:wAfter w:w="797" w:type="dxa"/>
          <w:trHeight w:val="2807"/>
        </w:trPr>
        <w:tc>
          <w:tcPr>
            <w:tcW w:w="9090" w:type="dxa"/>
            <w:gridSpan w:val="5"/>
            <w:tcBorders>
              <w:top w:val="single" w:sz="4" w:space="0" w:color="auto"/>
            </w:tcBorders>
          </w:tcPr>
          <w:p w:rsidR="001713EB" w:rsidRPr="00D76F2B" w:rsidRDefault="00D76F2B" w:rsidP="00D76F2B">
            <w:pPr>
              <w:spacing w:before="60" w:line="276" w:lineRule="auto"/>
              <w:jc w:val="center"/>
              <w:rPr>
                <w:rFonts w:ascii="Arial" w:hAnsi="Arial" w:cs="Arial"/>
                <w:b/>
                <w:sz w:val="20"/>
                <w:szCs w:val="20"/>
              </w:rPr>
            </w:pPr>
            <w:r w:rsidRPr="00D76F2B">
              <w:rPr>
                <w:rFonts w:ascii="Arial" w:hAnsi="Arial" w:cs="Arial"/>
                <w:b/>
                <w:sz w:val="20"/>
                <w:szCs w:val="20"/>
              </w:rPr>
              <w:t>Trust Fund Sample</w:t>
            </w:r>
          </w:p>
          <w:p w:rsidR="00D76F2B" w:rsidRDefault="00D76F2B" w:rsidP="00D76F2B">
            <w:pPr>
              <w:spacing w:before="120" w:after="120" w:line="276" w:lineRule="auto"/>
              <w:rPr>
                <w:rFonts w:ascii="Arial" w:hAnsi="Arial" w:cs="Arial"/>
                <w:sz w:val="20"/>
                <w:szCs w:val="20"/>
              </w:rPr>
            </w:pPr>
            <w:r>
              <w:rPr>
                <w:rFonts w:ascii="Arial" w:hAnsi="Arial" w:cs="Arial"/>
                <w:sz w:val="20"/>
                <w:szCs w:val="20"/>
              </w:rPr>
              <w:t>Current Residents</w:t>
            </w:r>
            <w:r w:rsidR="002561D9">
              <w:rPr>
                <w:rFonts w:ascii="Arial" w:hAnsi="Arial" w:cs="Arial"/>
                <w:sz w:val="20"/>
                <w:szCs w:val="20"/>
              </w:rPr>
              <w:t xml:space="preserve"> (choose from the list of residents with funds in the trust account</w:t>
            </w:r>
            <w:r>
              <w:rPr>
                <w:rFonts w:ascii="Arial" w:hAnsi="Arial" w:cs="Arial"/>
                <w:sz w:val="20"/>
                <w:szCs w:val="20"/>
              </w:rPr>
              <w:t>:</w:t>
            </w:r>
          </w:p>
          <w:p w:rsidR="00D76F2B" w:rsidRPr="00D76F2B" w:rsidRDefault="00D76F2B" w:rsidP="00EF2B8B">
            <w:pPr>
              <w:tabs>
                <w:tab w:val="right" w:pos="5743"/>
              </w:tabs>
              <w:spacing w:before="120" w:after="120" w:line="276" w:lineRule="auto"/>
              <w:rPr>
                <w:rFonts w:ascii="Arial" w:hAnsi="Arial" w:cs="Arial"/>
                <w:sz w:val="20"/>
                <w:szCs w:val="20"/>
                <w:u w:val="single"/>
              </w:rPr>
            </w:pPr>
            <w:r>
              <w:rPr>
                <w:rFonts w:ascii="Arial" w:hAnsi="Arial" w:cs="Arial"/>
                <w:sz w:val="20"/>
                <w:szCs w:val="20"/>
              </w:rPr>
              <w:t xml:space="preserve">Name:  </w:t>
            </w:r>
            <w:r w:rsidR="00387FA4" w:rsidRPr="00387FA4">
              <w:rPr>
                <w:rFonts w:ascii="Times New Roman" w:hAnsi="Times New Roman" w:cs="Times New Roman"/>
                <w:b/>
                <w:sz w:val="24"/>
                <w:szCs w:val="24"/>
                <w:u w:val="single"/>
              </w:rPr>
              <w:fldChar w:fldCharType="begin">
                <w:ffData>
                  <w:name w:val="Text1"/>
                  <w:enabled/>
                  <w:calcOnExit w:val="0"/>
                  <w:textInput/>
                </w:ffData>
              </w:fldChar>
            </w:r>
            <w:r w:rsidR="00387FA4" w:rsidRPr="00387FA4">
              <w:rPr>
                <w:rFonts w:ascii="Times New Roman" w:hAnsi="Times New Roman" w:cs="Times New Roman"/>
                <w:b/>
                <w:sz w:val="24"/>
                <w:szCs w:val="24"/>
                <w:u w:val="single"/>
              </w:rPr>
              <w:instrText xml:space="preserve"> FORMTEXT </w:instrText>
            </w:r>
            <w:r w:rsidR="00387FA4" w:rsidRPr="00387FA4">
              <w:rPr>
                <w:rFonts w:ascii="Times New Roman" w:hAnsi="Times New Roman" w:cs="Times New Roman"/>
                <w:b/>
                <w:sz w:val="24"/>
                <w:szCs w:val="24"/>
                <w:u w:val="single"/>
              </w:rPr>
            </w:r>
            <w:r w:rsidR="00387FA4" w:rsidRPr="00387FA4">
              <w:rPr>
                <w:rFonts w:ascii="Times New Roman" w:hAnsi="Times New Roman" w:cs="Times New Roman"/>
                <w:b/>
                <w:sz w:val="24"/>
                <w:szCs w:val="24"/>
                <w:u w:val="single"/>
              </w:rPr>
              <w:fldChar w:fldCharType="separate"/>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387FA4" w:rsidRPr="00387FA4">
              <w:rPr>
                <w:rFonts w:ascii="Times New Roman" w:hAnsi="Times New Roman" w:cs="Times New Roman"/>
                <w:b/>
                <w:sz w:val="24"/>
                <w:szCs w:val="24"/>
                <w:u w:val="single"/>
              </w:rPr>
              <w:fldChar w:fldCharType="end"/>
            </w:r>
            <w:r>
              <w:rPr>
                <w:rFonts w:ascii="Arial" w:hAnsi="Arial" w:cs="Arial"/>
                <w:sz w:val="20"/>
                <w:szCs w:val="20"/>
                <w:u w:val="single"/>
              </w:rPr>
              <w:tab/>
            </w:r>
          </w:p>
          <w:p w:rsidR="00D76F2B" w:rsidRDefault="00D76F2B" w:rsidP="00EF2B8B">
            <w:pPr>
              <w:tabs>
                <w:tab w:val="right" w:pos="5743"/>
              </w:tabs>
              <w:spacing w:before="120" w:after="120" w:line="276" w:lineRule="auto"/>
              <w:rPr>
                <w:rFonts w:ascii="Arial" w:hAnsi="Arial" w:cs="Arial"/>
                <w:sz w:val="20"/>
                <w:szCs w:val="20"/>
              </w:rPr>
            </w:pPr>
            <w:r>
              <w:rPr>
                <w:rFonts w:ascii="Arial" w:hAnsi="Arial" w:cs="Arial"/>
                <w:sz w:val="20"/>
                <w:szCs w:val="20"/>
              </w:rPr>
              <w:t xml:space="preserve">Name:  </w:t>
            </w:r>
            <w:r w:rsidR="00387FA4" w:rsidRPr="00387FA4">
              <w:rPr>
                <w:rFonts w:ascii="Times New Roman" w:hAnsi="Times New Roman" w:cs="Times New Roman"/>
                <w:b/>
                <w:sz w:val="24"/>
                <w:szCs w:val="24"/>
                <w:u w:val="single"/>
              </w:rPr>
              <w:fldChar w:fldCharType="begin">
                <w:ffData>
                  <w:name w:val="Text1"/>
                  <w:enabled/>
                  <w:calcOnExit w:val="0"/>
                  <w:textInput/>
                </w:ffData>
              </w:fldChar>
            </w:r>
            <w:r w:rsidR="00387FA4" w:rsidRPr="00387FA4">
              <w:rPr>
                <w:rFonts w:ascii="Times New Roman" w:hAnsi="Times New Roman" w:cs="Times New Roman"/>
                <w:b/>
                <w:sz w:val="24"/>
                <w:szCs w:val="24"/>
                <w:u w:val="single"/>
              </w:rPr>
              <w:instrText xml:space="preserve"> FORMTEXT </w:instrText>
            </w:r>
            <w:r w:rsidR="00387FA4" w:rsidRPr="00387FA4">
              <w:rPr>
                <w:rFonts w:ascii="Times New Roman" w:hAnsi="Times New Roman" w:cs="Times New Roman"/>
                <w:b/>
                <w:sz w:val="24"/>
                <w:szCs w:val="24"/>
                <w:u w:val="single"/>
              </w:rPr>
            </w:r>
            <w:r w:rsidR="00387FA4" w:rsidRPr="00387FA4">
              <w:rPr>
                <w:rFonts w:ascii="Times New Roman" w:hAnsi="Times New Roman" w:cs="Times New Roman"/>
                <w:b/>
                <w:sz w:val="24"/>
                <w:szCs w:val="24"/>
                <w:u w:val="single"/>
              </w:rPr>
              <w:fldChar w:fldCharType="separate"/>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387FA4" w:rsidRPr="00387FA4">
              <w:rPr>
                <w:rFonts w:ascii="Times New Roman" w:hAnsi="Times New Roman" w:cs="Times New Roman"/>
                <w:b/>
                <w:sz w:val="24"/>
                <w:szCs w:val="24"/>
                <w:u w:val="single"/>
              </w:rPr>
              <w:fldChar w:fldCharType="end"/>
            </w:r>
            <w:r>
              <w:rPr>
                <w:rFonts w:ascii="Arial" w:hAnsi="Arial" w:cs="Arial"/>
                <w:sz w:val="20"/>
                <w:szCs w:val="20"/>
                <w:u w:val="single"/>
              </w:rPr>
              <w:tab/>
            </w:r>
          </w:p>
          <w:p w:rsidR="00D76F2B" w:rsidRDefault="00D76F2B" w:rsidP="00EF2B8B">
            <w:pPr>
              <w:tabs>
                <w:tab w:val="right" w:pos="5743"/>
              </w:tabs>
              <w:spacing w:before="120" w:after="120" w:line="276" w:lineRule="auto"/>
              <w:rPr>
                <w:rFonts w:ascii="Arial" w:hAnsi="Arial" w:cs="Arial"/>
                <w:sz w:val="20"/>
                <w:szCs w:val="20"/>
              </w:rPr>
            </w:pPr>
            <w:r>
              <w:rPr>
                <w:rFonts w:ascii="Arial" w:hAnsi="Arial" w:cs="Arial"/>
                <w:sz w:val="20"/>
                <w:szCs w:val="20"/>
              </w:rPr>
              <w:t xml:space="preserve">Name:  </w:t>
            </w:r>
            <w:r w:rsidR="00387FA4" w:rsidRPr="00387FA4">
              <w:rPr>
                <w:rFonts w:ascii="Times New Roman" w:hAnsi="Times New Roman" w:cs="Times New Roman"/>
                <w:b/>
                <w:sz w:val="24"/>
                <w:szCs w:val="24"/>
                <w:u w:val="single"/>
              </w:rPr>
              <w:fldChar w:fldCharType="begin">
                <w:ffData>
                  <w:name w:val="Text1"/>
                  <w:enabled/>
                  <w:calcOnExit w:val="0"/>
                  <w:textInput/>
                </w:ffData>
              </w:fldChar>
            </w:r>
            <w:r w:rsidR="00387FA4" w:rsidRPr="00387FA4">
              <w:rPr>
                <w:rFonts w:ascii="Times New Roman" w:hAnsi="Times New Roman" w:cs="Times New Roman"/>
                <w:b/>
                <w:sz w:val="24"/>
                <w:szCs w:val="24"/>
                <w:u w:val="single"/>
              </w:rPr>
              <w:instrText xml:space="preserve"> FORMTEXT </w:instrText>
            </w:r>
            <w:r w:rsidR="00387FA4" w:rsidRPr="00387FA4">
              <w:rPr>
                <w:rFonts w:ascii="Times New Roman" w:hAnsi="Times New Roman" w:cs="Times New Roman"/>
                <w:b/>
                <w:sz w:val="24"/>
                <w:szCs w:val="24"/>
                <w:u w:val="single"/>
              </w:rPr>
            </w:r>
            <w:r w:rsidR="00387FA4" w:rsidRPr="00387FA4">
              <w:rPr>
                <w:rFonts w:ascii="Times New Roman" w:hAnsi="Times New Roman" w:cs="Times New Roman"/>
                <w:b/>
                <w:sz w:val="24"/>
                <w:szCs w:val="24"/>
                <w:u w:val="single"/>
              </w:rPr>
              <w:fldChar w:fldCharType="separate"/>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387FA4" w:rsidRPr="00387FA4">
              <w:rPr>
                <w:rFonts w:ascii="Times New Roman" w:hAnsi="Times New Roman" w:cs="Times New Roman"/>
                <w:b/>
                <w:sz w:val="24"/>
                <w:szCs w:val="24"/>
                <w:u w:val="single"/>
              </w:rPr>
              <w:fldChar w:fldCharType="end"/>
            </w:r>
            <w:r>
              <w:rPr>
                <w:rFonts w:ascii="Arial" w:hAnsi="Arial" w:cs="Arial"/>
                <w:sz w:val="20"/>
                <w:szCs w:val="20"/>
                <w:u w:val="single"/>
              </w:rPr>
              <w:tab/>
            </w:r>
          </w:p>
          <w:p w:rsidR="00D76F2B" w:rsidRDefault="00D76F2B" w:rsidP="00EF2B8B">
            <w:pPr>
              <w:tabs>
                <w:tab w:val="right" w:pos="8623"/>
              </w:tabs>
              <w:spacing w:before="360" w:after="240" w:line="276" w:lineRule="auto"/>
              <w:rPr>
                <w:rFonts w:ascii="Arial" w:hAnsi="Arial" w:cs="Arial"/>
                <w:sz w:val="20"/>
                <w:szCs w:val="20"/>
              </w:rPr>
            </w:pPr>
            <w:r>
              <w:rPr>
                <w:rFonts w:ascii="Arial" w:hAnsi="Arial" w:cs="Arial"/>
                <w:sz w:val="20"/>
                <w:szCs w:val="20"/>
              </w:rPr>
              <w:t xml:space="preserve">Discharged Resident:  </w:t>
            </w:r>
            <w:r w:rsidR="00387FA4" w:rsidRPr="00387FA4">
              <w:rPr>
                <w:rFonts w:ascii="Times New Roman" w:hAnsi="Times New Roman" w:cs="Times New Roman"/>
                <w:b/>
                <w:sz w:val="24"/>
                <w:szCs w:val="24"/>
                <w:u w:val="single"/>
              </w:rPr>
              <w:fldChar w:fldCharType="begin">
                <w:ffData>
                  <w:name w:val="Text1"/>
                  <w:enabled/>
                  <w:calcOnExit w:val="0"/>
                  <w:textInput/>
                </w:ffData>
              </w:fldChar>
            </w:r>
            <w:r w:rsidR="00387FA4" w:rsidRPr="00387FA4">
              <w:rPr>
                <w:rFonts w:ascii="Times New Roman" w:hAnsi="Times New Roman" w:cs="Times New Roman"/>
                <w:b/>
                <w:sz w:val="24"/>
                <w:szCs w:val="24"/>
                <w:u w:val="single"/>
              </w:rPr>
              <w:instrText xml:space="preserve"> FORMTEXT </w:instrText>
            </w:r>
            <w:r w:rsidR="00387FA4" w:rsidRPr="00387FA4">
              <w:rPr>
                <w:rFonts w:ascii="Times New Roman" w:hAnsi="Times New Roman" w:cs="Times New Roman"/>
                <w:b/>
                <w:sz w:val="24"/>
                <w:szCs w:val="24"/>
                <w:u w:val="single"/>
              </w:rPr>
            </w:r>
            <w:r w:rsidR="00387FA4" w:rsidRPr="00387FA4">
              <w:rPr>
                <w:rFonts w:ascii="Times New Roman" w:hAnsi="Times New Roman" w:cs="Times New Roman"/>
                <w:b/>
                <w:sz w:val="24"/>
                <w:szCs w:val="24"/>
                <w:u w:val="single"/>
              </w:rPr>
              <w:fldChar w:fldCharType="separate"/>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A119ED">
              <w:rPr>
                <w:rFonts w:ascii="Times New Roman" w:hAnsi="Times New Roman" w:cs="Times New Roman"/>
                <w:b/>
                <w:noProof/>
                <w:sz w:val="24"/>
                <w:szCs w:val="24"/>
                <w:u w:val="single"/>
              </w:rPr>
              <w:t> </w:t>
            </w:r>
            <w:r w:rsidR="00387FA4" w:rsidRPr="00387FA4">
              <w:rPr>
                <w:rFonts w:ascii="Times New Roman" w:hAnsi="Times New Roman" w:cs="Times New Roman"/>
                <w:b/>
                <w:sz w:val="24"/>
                <w:szCs w:val="24"/>
                <w:u w:val="single"/>
              </w:rPr>
              <w:fldChar w:fldCharType="end"/>
            </w:r>
            <w:r>
              <w:rPr>
                <w:rFonts w:ascii="Arial" w:hAnsi="Arial" w:cs="Arial"/>
                <w:sz w:val="20"/>
                <w:szCs w:val="20"/>
                <w:u w:val="single"/>
              </w:rPr>
              <w:tab/>
            </w:r>
          </w:p>
        </w:tc>
      </w:tr>
      <w:tr w:rsidR="00781845" w:rsidRPr="001E3363" w:rsidTr="00676F10">
        <w:tblPrEx>
          <w:tblCellMar>
            <w:left w:w="57" w:type="dxa"/>
            <w:right w:w="57" w:type="dxa"/>
          </w:tblCellMar>
        </w:tblPrEx>
        <w:trPr>
          <w:trHeight w:hRule="exact" w:val="72"/>
        </w:trPr>
        <w:tc>
          <w:tcPr>
            <w:tcW w:w="10790" w:type="dxa"/>
            <w:gridSpan w:val="7"/>
            <w:tcBorders>
              <w:top w:val="nil"/>
              <w:left w:val="nil"/>
              <w:right w:val="nil"/>
            </w:tcBorders>
            <w:shd w:val="clear" w:color="auto" w:fill="auto"/>
            <w:vAlign w:val="center"/>
          </w:tcPr>
          <w:p w:rsidR="00781845" w:rsidRPr="001E3363" w:rsidRDefault="00781845" w:rsidP="0092698C">
            <w:pPr>
              <w:jc w:val="center"/>
              <w:rPr>
                <w:rFonts w:ascii="Arial" w:hAnsi="Arial" w:cs="Arial"/>
                <w:b/>
                <w:sz w:val="20"/>
                <w:szCs w:val="20"/>
              </w:rPr>
            </w:pPr>
          </w:p>
        </w:tc>
      </w:tr>
      <w:tr w:rsidR="00D76F2B" w:rsidRPr="001E3363" w:rsidTr="0092698C">
        <w:tblPrEx>
          <w:tblCellMar>
            <w:left w:w="57" w:type="dxa"/>
            <w:right w:w="57" w:type="dxa"/>
          </w:tblCellMar>
        </w:tblPrEx>
        <w:trPr>
          <w:trHeight w:val="152"/>
        </w:trPr>
        <w:tc>
          <w:tcPr>
            <w:tcW w:w="5223" w:type="dxa"/>
            <w:gridSpan w:val="4"/>
            <w:shd w:val="clear" w:color="auto" w:fill="DEEAF6" w:themeFill="accent1" w:themeFillTint="33"/>
            <w:vAlign w:val="center"/>
          </w:tcPr>
          <w:p w:rsidR="00D76F2B" w:rsidRPr="001E3363" w:rsidRDefault="0092698C" w:rsidP="0092698C">
            <w:pPr>
              <w:jc w:val="center"/>
              <w:rPr>
                <w:rFonts w:ascii="Arial" w:hAnsi="Arial" w:cs="Arial"/>
                <w:b/>
                <w:sz w:val="20"/>
                <w:szCs w:val="20"/>
              </w:rPr>
            </w:pPr>
            <w:r>
              <w:rPr>
                <w:rFonts w:ascii="Arial" w:hAnsi="Arial" w:cs="Arial"/>
                <w:b/>
                <w:sz w:val="20"/>
                <w:szCs w:val="20"/>
              </w:rPr>
              <w:t>Trust Fund / Surety Bond Item</w:t>
            </w:r>
          </w:p>
        </w:tc>
        <w:tc>
          <w:tcPr>
            <w:tcW w:w="5567" w:type="dxa"/>
            <w:gridSpan w:val="3"/>
            <w:shd w:val="clear" w:color="auto" w:fill="DEEAF6" w:themeFill="accent1" w:themeFillTint="33"/>
            <w:vAlign w:val="center"/>
          </w:tcPr>
          <w:p w:rsidR="00D76F2B" w:rsidRPr="001E3363" w:rsidRDefault="00D76F2B" w:rsidP="0092698C">
            <w:pPr>
              <w:jc w:val="center"/>
              <w:rPr>
                <w:rFonts w:ascii="Arial" w:hAnsi="Arial" w:cs="Arial"/>
                <w:b/>
                <w:sz w:val="20"/>
                <w:szCs w:val="20"/>
              </w:rPr>
            </w:pPr>
            <w:r w:rsidRPr="001E3363">
              <w:rPr>
                <w:rFonts w:ascii="Arial" w:hAnsi="Arial" w:cs="Arial"/>
                <w:b/>
                <w:sz w:val="20"/>
                <w:szCs w:val="20"/>
              </w:rPr>
              <w:t>Notes</w:t>
            </w:r>
          </w:p>
        </w:tc>
      </w:tr>
      <w:tr w:rsidR="00781845" w:rsidTr="008C6DC6">
        <w:tblPrEx>
          <w:tblCellMar>
            <w:left w:w="57" w:type="dxa"/>
            <w:right w:w="57" w:type="dxa"/>
          </w:tblCellMar>
        </w:tblPrEx>
        <w:trPr>
          <w:trHeight w:val="1862"/>
        </w:trPr>
        <w:tc>
          <w:tcPr>
            <w:tcW w:w="5223" w:type="dxa"/>
            <w:gridSpan w:val="4"/>
            <w:vAlign w:val="center"/>
          </w:tcPr>
          <w:p w:rsidR="00781845" w:rsidRPr="00D76F2B" w:rsidRDefault="00781845" w:rsidP="00781845">
            <w:pPr>
              <w:autoSpaceDE w:val="0"/>
              <w:autoSpaceDN w:val="0"/>
              <w:adjustRightInd w:val="0"/>
              <w:spacing w:before="120" w:after="120"/>
              <w:rPr>
                <w:rFonts w:ascii="Arial" w:hAnsi="Arial" w:cs="Arial"/>
                <w:sz w:val="20"/>
                <w:szCs w:val="20"/>
              </w:rPr>
            </w:pPr>
            <w:r>
              <w:rPr>
                <w:rFonts w:ascii="Arial" w:hAnsi="Arial" w:cs="Arial"/>
                <w:sz w:val="20"/>
                <w:szCs w:val="20"/>
              </w:rPr>
              <w:t xml:space="preserve">WAC 388-97-0340 (3) </w:t>
            </w:r>
            <w:r w:rsidRPr="00D76F2B">
              <w:rPr>
                <w:rFonts w:ascii="Arial" w:hAnsi="Arial" w:cs="Arial"/>
                <w:sz w:val="20"/>
                <w:szCs w:val="20"/>
              </w:rPr>
              <w:t xml:space="preserve">The nursing home must establish and maintain a system that assures a full, complete and separate accounting, according to generally accepted accounting principles, of each resident's personal funds entrusted to the nursing home on the resident's behalf and must: </w:t>
            </w:r>
          </w:p>
          <w:p w:rsidR="00781845" w:rsidRDefault="00781845" w:rsidP="00781845">
            <w:pPr>
              <w:tabs>
                <w:tab w:val="left" w:pos="399"/>
              </w:tabs>
              <w:autoSpaceDE w:val="0"/>
              <w:autoSpaceDN w:val="0"/>
              <w:adjustRightInd w:val="0"/>
              <w:spacing w:before="120" w:after="120"/>
              <w:ind w:left="399" w:hanging="399"/>
              <w:rPr>
                <w:rFonts w:ascii="Arial" w:hAnsi="Arial" w:cs="Arial"/>
                <w:sz w:val="20"/>
                <w:szCs w:val="20"/>
              </w:rPr>
            </w:pPr>
            <w:r w:rsidRPr="00D76F2B">
              <w:rPr>
                <w:rFonts w:ascii="Arial" w:hAnsi="Arial" w:cs="Arial"/>
                <w:sz w:val="20"/>
                <w:szCs w:val="20"/>
              </w:rPr>
              <w:t>(a)</w:t>
            </w:r>
            <w:r w:rsidRPr="00D76F2B">
              <w:rPr>
                <w:rFonts w:ascii="Arial" w:hAnsi="Arial" w:cs="Arial"/>
                <w:sz w:val="20"/>
                <w:szCs w:val="20"/>
              </w:rPr>
              <w:tab/>
              <w:t xml:space="preserve">Deposit any resident's personal funds in excess of fifty dollars, one hundred dollars for </w:t>
            </w:r>
            <w:r>
              <w:rPr>
                <w:rFonts w:ascii="Arial" w:hAnsi="Arial" w:cs="Arial"/>
                <w:sz w:val="20"/>
                <w:szCs w:val="20"/>
              </w:rPr>
              <w:t>medicare</w:t>
            </w:r>
            <w:r w:rsidRPr="00D76F2B">
              <w:rPr>
                <w:rFonts w:ascii="Arial" w:hAnsi="Arial" w:cs="Arial"/>
                <w:sz w:val="20"/>
                <w:szCs w:val="20"/>
              </w:rPr>
              <w:t xml:space="preserve"> residents, in an interest-bearing resident personal fund account or accounts, separate from any nursing home operating accounts, and credit all interest earned to the account; </w:t>
            </w:r>
          </w:p>
          <w:p w:rsidR="00781845" w:rsidRPr="00781845" w:rsidRDefault="00781845" w:rsidP="00781845">
            <w:pPr>
              <w:tabs>
                <w:tab w:val="left" w:pos="399"/>
              </w:tabs>
              <w:autoSpaceDE w:val="0"/>
              <w:autoSpaceDN w:val="0"/>
              <w:adjustRightInd w:val="0"/>
              <w:spacing w:before="120" w:after="120"/>
              <w:ind w:left="399" w:hanging="399"/>
              <w:rPr>
                <w:rFonts w:ascii="Arial" w:hAnsi="Arial" w:cs="Arial"/>
                <w:sz w:val="20"/>
                <w:szCs w:val="20"/>
              </w:rPr>
            </w:pPr>
            <w:r w:rsidRPr="00D76F2B">
              <w:rPr>
                <w:rFonts w:ascii="Arial" w:hAnsi="Arial" w:cs="Arial"/>
                <w:sz w:val="20"/>
                <w:szCs w:val="20"/>
              </w:rPr>
              <w:t>(b)</w:t>
            </w:r>
            <w:r w:rsidRPr="00D76F2B">
              <w:rPr>
                <w:rFonts w:ascii="Arial" w:hAnsi="Arial" w:cs="Arial"/>
                <w:sz w:val="20"/>
                <w:szCs w:val="20"/>
              </w:rPr>
              <w:tab/>
              <w:t xml:space="preserve">Keep personal funds under fifty dollars, one hundred dollars for </w:t>
            </w:r>
            <w:r>
              <w:rPr>
                <w:rFonts w:ascii="Arial" w:hAnsi="Arial" w:cs="Arial"/>
                <w:sz w:val="20"/>
                <w:szCs w:val="20"/>
              </w:rPr>
              <w:t>medicare</w:t>
            </w:r>
            <w:r w:rsidRPr="00D76F2B">
              <w:rPr>
                <w:rFonts w:ascii="Arial" w:hAnsi="Arial" w:cs="Arial"/>
                <w:sz w:val="20"/>
                <w:szCs w:val="20"/>
              </w:rPr>
              <w:t xml:space="preserve"> residents, in a noninterest-bearing account or petty cash fund maintained for residents;</w:t>
            </w:r>
          </w:p>
        </w:tc>
        <w:tc>
          <w:tcPr>
            <w:tcW w:w="5567" w:type="dxa"/>
            <w:gridSpan w:val="3"/>
            <w:vMerge w:val="restart"/>
          </w:tcPr>
          <w:p w:rsidR="00781845" w:rsidRDefault="00781845" w:rsidP="0078184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sidR="00A119E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58FD" w:rsidTr="0092698C">
        <w:tblPrEx>
          <w:tblCellMar>
            <w:left w:w="57" w:type="dxa"/>
            <w:right w:w="57" w:type="dxa"/>
          </w:tblCellMar>
        </w:tblPrEx>
        <w:trPr>
          <w:trHeight w:val="37"/>
        </w:trPr>
        <w:tc>
          <w:tcPr>
            <w:tcW w:w="3783" w:type="dxa"/>
            <w:gridSpan w:val="3"/>
            <w:vAlign w:val="center"/>
          </w:tcPr>
          <w:p w:rsidR="009C58FD" w:rsidRPr="0092698C" w:rsidRDefault="009C58FD" w:rsidP="009C58FD">
            <w:pPr>
              <w:tabs>
                <w:tab w:val="left" w:pos="2715"/>
              </w:tabs>
              <w:spacing w:before="60" w:after="60"/>
              <w:rPr>
                <w:rFonts w:ascii="Arial" w:hAnsi="Arial" w:cs="Arial"/>
                <w:sz w:val="20"/>
                <w:szCs w:val="20"/>
              </w:rPr>
            </w:pPr>
            <w:r w:rsidRPr="0092698C">
              <w:rPr>
                <w:rFonts w:ascii="Arial" w:hAnsi="Arial" w:cs="Arial"/>
                <w:sz w:val="20"/>
                <w:szCs w:val="20"/>
              </w:rPr>
              <w:t>Are the resident funds above $50 ($100 for Medicare residents) in an interest bearing account</w:t>
            </w:r>
            <w:r>
              <w:rPr>
                <w:rFonts w:ascii="Arial" w:hAnsi="Arial" w:cs="Arial"/>
                <w:sz w:val="20"/>
                <w:szCs w:val="20"/>
              </w:rPr>
              <w:t>?</w:t>
            </w:r>
            <w:r w:rsidRPr="0092698C">
              <w:rPr>
                <w:rFonts w:ascii="Arial" w:hAnsi="Arial" w:cs="Arial"/>
                <w:sz w:val="20"/>
                <w:szCs w:val="20"/>
              </w:rPr>
              <w:t xml:space="preserve"> </w:t>
            </w:r>
            <w:r>
              <w:rPr>
                <w:rFonts w:ascii="Arial" w:hAnsi="Arial" w:cs="Arial"/>
                <w:sz w:val="20"/>
                <w:szCs w:val="20"/>
              </w:rPr>
              <w:t>Is the interest</w:t>
            </w:r>
            <w:r w:rsidRPr="0092698C">
              <w:rPr>
                <w:rFonts w:ascii="Arial" w:hAnsi="Arial" w:cs="Arial"/>
                <w:sz w:val="20"/>
                <w:szCs w:val="20"/>
              </w:rPr>
              <w:t xml:space="preserve"> credited</w:t>
            </w:r>
            <w:r>
              <w:rPr>
                <w:rFonts w:ascii="Arial" w:hAnsi="Arial" w:cs="Arial"/>
                <w:sz w:val="20"/>
                <w:szCs w:val="20"/>
              </w:rPr>
              <w:t xml:space="preserve"> appropriately</w:t>
            </w:r>
            <w:r w:rsidRPr="0092698C">
              <w:rPr>
                <w:rFonts w:ascii="Arial" w:hAnsi="Arial" w:cs="Arial"/>
                <w:sz w:val="20"/>
                <w:szCs w:val="20"/>
              </w:rPr>
              <w:t xml:space="preserve"> to each resident?</w:t>
            </w:r>
          </w:p>
        </w:tc>
        <w:tc>
          <w:tcPr>
            <w:tcW w:w="1440" w:type="dxa"/>
            <w:vAlign w:val="center"/>
          </w:tcPr>
          <w:p w:rsidR="009C58FD" w:rsidRDefault="009C58FD" w:rsidP="0092698C">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119ED">
              <w:rPr>
                <w:rFonts w:ascii="Arial" w:hAnsi="Arial" w:cs="Arial"/>
                <w:sz w:val="20"/>
                <w:szCs w:val="20"/>
              </w:rPr>
            </w:r>
            <w:r w:rsidR="00A11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rsidR="009C58FD" w:rsidRDefault="009C58FD" w:rsidP="0092698C">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119ED">
              <w:rPr>
                <w:rFonts w:ascii="Arial" w:hAnsi="Arial" w:cs="Arial"/>
                <w:sz w:val="20"/>
                <w:szCs w:val="20"/>
              </w:rPr>
            </w:r>
            <w:r w:rsidR="00A11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567" w:type="dxa"/>
            <w:gridSpan w:val="3"/>
            <w:vMerge/>
          </w:tcPr>
          <w:p w:rsidR="009C58FD" w:rsidRDefault="009C58FD" w:rsidP="0092698C">
            <w:pPr>
              <w:spacing w:before="60" w:after="60"/>
              <w:rPr>
                <w:rFonts w:ascii="Arial" w:hAnsi="Arial" w:cs="Arial"/>
                <w:sz w:val="20"/>
                <w:szCs w:val="20"/>
              </w:rPr>
            </w:pPr>
          </w:p>
        </w:tc>
      </w:tr>
      <w:tr w:rsidR="00781845" w:rsidTr="00943AA5">
        <w:tblPrEx>
          <w:tblCellMar>
            <w:left w:w="57" w:type="dxa"/>
            <w:right w:w="57" w:type="dxa"/>
          </w:tblCellMar>
        </w:tblPrEx>
        <w:trPr>
          <w:trHeight w:val="37"/>
        </w:trPr>
        <w:tc>
          <w:tcPr>
            <w:tcW w:w="5223" w:type="dxa"/>
            <w:gridSpan w:val="4"/>
            <w:vAlign w:val="center"/>
          </w:tcPr>
          <w:p w:rsidR="00781845" w:rsidRPr="0092698C" w:rsidRDefault="00781845" w:rsidP="00781845">
            <w:pPr>
              <w:tabs>
                <w:tab w:val="left" w:pos="2715"/>
              </w:tabs>
              <w:spacing w:before="60" w:after="60"/>
              <w:rPr>
                <w:rFonts w:ascii="Arial" w:hAnsi="Arial" w:cs="Arial"/>
                <w:sz w:val="20"/>
                <w:szCs w:val="20"/>
              </w:rPr>
            </w:pPr>
            <w:r>
              <w:rPr>
                <w:rFonts w:ascii="Arial" w:hAnsi="Arial" w:cs="Arial"/>
                <w:sz w:val="20"/>
                <w:szCs w:val="20"/>
              </w:rPr>
              <w:t xml:space="preserve">WAC 388-97-0340(5):  </w:t>
            </w:r>
            <w:r w:rsidRPr="00D76F2B">
              <w:rPr>
                <w:rFonts w:ascii="Arial" w:hAnsi="Arial" w:cs="Arial"/>
                <w:sz w:val="20"/>
                <w:szCs w:val="20"/>
              </w:rPr>
              <w:t xml:space="preserve">The nursing home must convey the resident's funds, and a final accounting of those funds, to the resident or to the individual or jurisdiction administering the resident's estate, within thirty days of the discharge, transfer or death of any resident with a personal fund deposited with the nursing home. The funds of a deceased </w:t>
            </w:r>
            <w:r>
              <w:rPr>
                <w:rFonts w:ascii="Arial" w:hAnsi="Arial" w:cs="Arial"/>
                <w:sz w:val="20"/>
                <w:szCs w:val="20"/>
              </w:rPr>
              <w:t>M</w:t>
            </w:r>
            <w:r w:rsidRPr="00D76F2B">
              <w:rPr>
                <w:rFonts w:ascii="Arial" w:hAnsi="Arial" w:cs="Arial"/>
                <w:sz w:val="20"/>
                <w:szCs w:val="20"/>
              </w:rPr>
              <w:t>edicaid resident must be sent to the state of Washington, department of social and health services, office of financial recovery.</w:t>
            </w:r>
          </w:p>
        </w:tc>
        <w:tc>
          <w:tcPr>
            <w:tcW w:w="5567" w:type="dxa"/>
            <w:gridSpan w:val="3"/>
            <w:vMerge/>
          </w:tcPr>
          <w:p w:rsidR="00781845" w:rsidRDefault="00781845" w:rsidP="00781845">
            <w:pPr>
              <w:spacing w:before="60" w:after="60"/>
              <w:rPr>
                <w:rFonts w:ascii="Arial" w:hAnsi="Arial" w:cs="Arial"/>
                <w:sz w:val="20"/>
                <w:szCs w:val="20"/>
              </w:rPr>
            </w:pPr>
          </w:p>
        </w:tc>
      </w:tr>
      <w:tr w:rsidR="009C58FD" w:rsidTr="0092698C">
        <w:tblPrEx>
          <w:tblCellMar>
            <w:left w:w="57" w:type="dxa"/>
            <w:right w:w="57" w:type="dxa"/>
          </w:tblCellMar>
        </w:tblPrEx>
        <w:trPr>
          <w:trHeight w:val="37"/>
        </w:trPr>
        <w:tc>
          <w:tcPr>
            <w:tcW w:w="3783" w:type="dxa"/>
            <w:gridSpan w:val="3"/>
            <w:vAlign w:val="center"/>
          </w:tcPr>
          <w:p w:rsidR="009C58FD" w:rsidRPr="0092698C" w:rsidRDefault="009C58FD" w:rsidP="0092698C">
            <w:pPr>
              <w:tabs>
                <w:tab w:val="left" w:pos="2715"/>
              </w:tabs>
              <w:spacing w:before="60" w:after="60"/>
              <w:rPr>
                <w:rFonts w:ascii="Arial" w:hAnsi="Arial" w:cs="Arial"/>
                <w:sz w:val="20"/>
                <w:szCs w:val="20"/>
              </w:rPr>
            </w:pPr>
            <w:r w:rsidRPr="0092698C">
              <w:rPr>
                <w:rFonts w:ascii="Arial" w:hAnsi="Arial" w:cs="Arial"/>
                <w:sz w:val="20"/>
                <w:szCs w:val="20"/>
              </w:rPr>
              <w:t>Does the nursing home convey trust funds and a final accounting of the funds within 30 days of discharge, transfer or death?</w:t>
            </w:r>
          </w:p>
        </w:tc>
        <w:tc>
          <w:tcPr>
            <w:tcW w:w="1440" w:type="dxa"/>
            <w:vAlign w:val="center"/>
          </w:tcPr>
          <w:p w:rsidR="009C58FD" w:rsidRDefault="009C58FD" w:rsidP="0092698C">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119ED">
              <w:rPr>
                <w:rFonts w:ascii="Arial" w:hAnsi="Arial" w:cs="Arial"/>
                <w:sz w:val="20"/>
                <w:szCs w:val="20"/>
              </w:rPr>
            </w:r>
            <w:r w:rsidR="00A11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rsidR="009C58FD" w:rsidRDefault="009C58FD" w:rsidP="0092698C">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119ED">
              <w:rPr>
                <w:rFonts w:ascii="Arial" w:hAnsi="Arial" w:cs="Arial"/>
                <w:sz w:val="20"/>
                <w:szCs w:val="20"/>
              </w:rPr>
            </w:r>
            <w:r w:rsidR="00A119E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5567" w:type="dxa"/>
            <w:gridSpan w:val="3"/>
            <w:vMerge/>
          </w:tcPr>
          <w:p w:rsidR="009C58FD" w:rsidRDefault="009C58FD" w:rsidP="0092698C">
            <w:pPr>
              <w:spacing w:before="60" w:after="60"/>
              <w:rPr>
                <w:rFonts w:ascii="Arial" w:hAnsi="Arial" w:cs="Arial"/>
                <w:sz w:val="20"/>
                <w:szCs w:val="20"/>
              </w:rPr>
            </w:pPr>
          </w:p>
        </w:tc>
      </w:tr>
    </w:tbl>
    <w:p w:rsidR="002B0E16" w:rsidRPr="00781845" w:rsidRDefault="002B0E16">
      <w:pPr>
        <w:rPr>
          <w:rFonts w:ascii="Arial" w:hAnsi="Arial" w:cs="Arial"/>
          <w:sz w:val="2"/>
          <w:szCs w:val="2"/>
        </w:rPr>
      </w:pPr>
    </w:p>
    <w:sectPr w:rsidR="002B0E16" w:rsidRPr="00781845" w:rsidSect="001713E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EB" w:rsidRDefault="001713EB" w:rsidP="001713EB">
      <w:pPr>
        <w:spacing w:after="0" w:line="240" w:lineRule="auto"/>
      </w:pPr>
      <w:r>
        <w:separator/>
      </w:r>
    </w:p>
  </w:endnote>
  <w:endnote w:type="continuationSeparator" w:id="0">
    <w:p w:rsidR="001713EB" w:rsidRDefault="001713EB" w:rsidP="0017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826936"/>
      <w:docPartObj>
        <w:docPartGallery w:val="Page Numbers (Bottom of Page)"/>
        <w:docPartUnique/>
      </w:docPartObj>
    </w:sdtPr>
    <w:sdtEndPr/>
    <w:sdtContent>
      <w:sdt>
        <w:sdtPr>
          <w:id w:val="-1705238520"/>
          <w:docPartObj>
            <w:docPartGallery w:val="Page Numbers (Top of Page)"/>
            <w:docPartUnique/>
          </w:docPartObj>
        </w:sdtPr>
        <w:sdtEndPr/>
        <w:sdtContent>
          <w:p w:rsidR="001713EB" w:rsidRDefault="00EF2B8B" w:rsidP="001713EB">
            <w:pPr>
              <w:pStyle w:val="Footer"/>
              <w:tabs>
                <w:tab w:val="clear" w:pos="4680"/>
                <w:tab w:val="clear" w:pos="9360"/>
                <w:tab w:val="right" w:pos="10800"/>
              </w:tabs>
            </w:pPr>
            <w:r>
              <w:rPr>
                <w:rFonts w:ascii="Arial" w:hAnsi="Arial" w:cs="Arial"/>
                <w:b/>
                <w:sz w:val="16"/>
                <w:szCs w:val="16"/>
              </w:rPr>
              <w:t>TRUST FUND AND SURETY BOND REVIEW</w:t>
            </w:r>
            <w:r w:rsidR="001713EB">
              <w:rPr>
                <w:rFonts w:ascii="Arial" w:hAnsi="Arial" w:cs="Arial"/>
                <w:b/>
                <w:sz w:val="16"/>
                <w:szCs w:val="16"/>
              </w:rPr>
              <w:tab/>
            </w:r>
            <w:r w:rsidR="001713EB" w:rsidRPr="001713EB">
              <w:rPr>
                <w:rFonts w:ascii="Arial" w:hAnsi="Arial" w:cs="Arial"/>
                <w:sz w:val="20"/>
                <w:szCs w:val="20"/>
              </w:rPr>
              <w:t xml:space="preserve">Page </w:t>
            </w:r>
            <w:r w:rsidR="001713EB" w:rsidRPr="001713EB">
              <w:rPr>
                <w:rFonts w:ascii="Arial" w:hAnsi="Arial" w:cs="Arial"/>
                <w:bCs/>
                <w:sz w:val="20"/>
                <w:szCs w:val="20"/>
              </w:rPr>
              <w:fldChar w:fldCharType="begin"/>
            </w:r>
            <w:r w:rsidR="001713EB" w:rsidRPr="001713EB">
              <w:rPr>
                <w:rFonts w:ascii="Arial" w:hAnsi="Arial" w:cs="Arial"/>
                <w:bCs/>
                <w:sz w:val="20"/>
                <w:szCs w:val="20"/>
              </w:rPr>
              <w:instrText xml:space="preserve"> PAGE </w:instrText>
            </w:r>
            <w:r w:rsidR="001713EB" w:rsidRPr="001713EB">
              <w:rPr>
                <w:rFonts w:ascii="Arial" w:hAnsi="Arial" w:cs="Arial"/>
                <w:bCs/>
                <w:sz w:val="20"/>
                <w:szCs w:val="20"/>
              </w:rPr>
              <w:fldChar w:fldCharType="separate"/>
            </w:r>
            <w:r w:rsidR="00A119ED">
              <w:rPr>
                <w:rFonts w:ascii="Arial" w:hAnsi="Arial" w:cs="Arial"/>
                <w:bCs/>
                <w:noProof/>
                <w:sz w:val="20"/>
                <w:szCs w:val="20"/>
              </w:rPr>
              <w:t>1</w:t>
            </w:r>
            <w:r w:rsidR="001713EB" w:rsidRPr="001713EB">
              <w:rPr>
                <w:rFonts w:ascii="Arial" w:hAnsi="Arial" w:cs="Arial"/>
                <w:bCs/>
                <w:sz w:val="20"/>
                <w:szCs w:val="20"/>
              </w:rPr>
              <w:fldChar w:fldCharType="end"/>
            </w:r>
            <w:r w:rsidR="001713EB" w:rsidRPr="001713EB">
              <w:rPr>
                <w:rFonts w:ascii="Arial" w:hAnsi="Arial" w:cs="Arial"/>
                <w:sz w:val="20"/>
                <w:szCs w:val="20"/>
              </w:rPr>
              <w:t xml:space="preserve"> of </w:t>
            </w:r>
            <w:r w:rsidR="001713EB" w:rsidRPr="001713EB">
              <w:rPr>
                <w:rFonts w:ascii="Arial" w:hAnsi="Arial" w:cs="Arial"/>
                <w:bCs/>
                <w:sz w:val="20"/>
                <w:szCs w:val="20"/>
              </w:rPr>
              <w:fldChar w:fldCharType="begin"/>
            </w:r>
            <w:r w:rsidR="001713EB" w:rsidRPr="001713EB">
              <w:rPr>
                <w:rFonts w:ascii="Arial" w:hAnsi="Arial" w:cs="Arial"/>
                <w:bCs/>
                <w:sz w:val="20"/>
                <w:szCs w:val="20"/>
              </w:rPr>
              <w:instrText xml:space="preserve"> NUMPAGES  </w:instrText>
            </w:r>
            <w:r w:rsidR="001713EB" w:rsidRPr="001713EB">
              <w:rPr>
                <w:rFonts w:ascii="Arial" w:hAnsi="Arial" w:cs="Arial"/>
                <w:bCs/>
                <w:sz w:val="20"/>
                <w:szCs w:val="20"/>
              </w:rPr>
              <w:fldChar w:fldCharType="separate"/>
            </w:r>
            <w:r w:rsidR="00A119ED">
              <w:rPr>
                <w:rFonts w:ascii="Arial" w:hAnsi="Arial" w:cs="Arial"/>
                <w:bCs/>
                <w:noProof/>
                <w:sz w:val="20"/>
                <w:szCs w:val="20"/>
              </w:rPr>
              <w:t>1</w:t>
            </w:r>
            <w:r w:rsidR="001713EB" w:rsidRPr="001713EB">
              <w:rPr>
                <w:rFonts w:ascii="Arial" w:hAnsi="Arial" w:cs="Arial"/>
                <w:bCs/>
                <w:sz w:val="20"/>
                <w:szCs w:val="20"/>
              </w:rPr>
              <w:fldChar w:fldCharType="end"/>
            </w:r>
          </w:p>
        </w:sdtContent>
      </w:sdt>
    </w:sdtContent>
  </w:sdt>
  <w:p w:rsidR="001713EB" w:rsidRDefault="001713EB" w:rsidP="001713EB">
    <w:pPr>
      <w:pStyle w:val="Footer"/>
      <w:tabs>
        <w:tab w:val="clear" w:pos="4680"/>
        <w:tab w:val="clear" w:pos="9360"/>
      </w:tabs>
    </w:pPr>
    <w:r>
      <w:rPr>
        <w:rFonts w:ascii="Arial" w:hAnsi="Arial" w:cs="Arial"/>
        <w:b/>
        <w:sz w:val="16"/>
        <w:szCs w:val="16"/>
      </w:rPr>
      <w:t>DSHS 10-</w:t>
    </w:r>
    <w:r w:rsidR="00676F10">
      <w:rPr>
        <w:rFonts w:ascii="Arial" w:hAnsi="Arial" w:cs="Arial"/>
        <w:b/>
        <w:sz w:val="16"/>
        <w:szCs w:val="16"/>
      </w:rPr>
      <w:t>628</w:t>
    </w:r>
    <w:r>
      <w:rPr>
        <w:rFonts w:ascii="Arial" w:hAnsi="Arial" w:cs="Arial"/>
        <w:b/>
        <w:sz w:val="16"/>
        <w:szCs w:val="16"/>
      </w:rPr>
      <w:t xml:space="preserve"> (</w:t>
    </w:r>
    <w:r w:rsidR="00676F10">
      <w:rPr>
        <w:rFonts w:ascii="Arial" w:hAnsi="Arial" w:cs="Arial"/>
        <w:b/>
        <w:sz w:val="16"/>
        <w:szCs w:val="16"/>
      </w:rPr>
      <w:t>05/2019</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EB" w:rsidRDefault="001713EB" w:rsidP="001713EB">
      <w:pPr>
        <w:spacing w:after="0" w:line="240" w:lineRule="auto"/>
      </w:pPr>
      <w:r>
        <w:separator/>
      </w:r>
    </w:p>
  </w:footnote>
  <w:footnote w:type="continuationSeparator" w:id="0">
    <w:p w:rsidR="001713EB" w:rsidRDefault="001713EB" w:rsidP="0017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6D6"/>
    <w:multiLevelType w:val="hybridMultilevel"/>
    <w:tmpl w:val="6396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aE5RsL8zky9Sbwmrscz3KGwbi24U2Ks3ZrYYB90YxPZlxvsavDbB1r8WMkJJSG97q+Le64PX9qYAUaDSLMw13w==" w:salt="mhgAFirf9ozyoQPeY7ky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0B"/>
    <w:rsid w:val="001713EB"/>
    <w:rsid w:val="002561D9"/>
    <w:rsid w:val="002B0E16"/>
    <w:rsid w:val="00387FA4"/>
    <w:rsid w:val="00471B69"/>
    <w:rsid w:val="005377F5"/>
    <w:rsid w:val="005960BB"/>
    <w:rsid w:val="00676F10"/>
    <w:rsid w:val="007502CD"/>
    <w:rsid w:val="00781845"/>
    <w:rsid w:val="00867202"/>
    <w:rsid w:val="0092698C"/>
    <w:rsid w:val="0093319D"/>
    <w:rsid w:val="009C58FD"/>
    <w:rsid w:val="00A119ED"/>
    <w:rsid w:val="00D76F2B"/>
    <w:rsid w:val="00D9790B"/>
    <w:rsid w:val="00E63A57"/>
    <w:rsid w:val="00EF2B8B"/>
    <w:rsid w:val="00F9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95C92-5DCC-4F72-9EB7-1FC85A9B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3EB"/>
  </w:style>
  <w:style w:type="paragraph" w:styleId="Footer">
    <w:name w:val="footer"/>
    <w:basedOn w:val="Normal"/>
    <w:link w:val="FooterChar"/>
    <w:uiPriority w:val="99"/>
    <w:unhideWhenUsed/>
    <w:rsid w:val="0017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EB"/>
  </w:style>
  <w:style w:type="paragraph" w:styleId="ListParagraph">
    <w:name w:val="List Paragraph"/>
    <w:basedOn w:val="Normal"/>
    <w:uiPriority w:val="34"/>
    <w:qFormat/>
    <w:rsid w:val="00D76F2B"/>
    <w:pPr>
      <w:ind w:left="720"/>
      <w:contextualSpacing/>
    </w:pPr>
  </w:style>
  <w:style w:type="paragraph" w:styleId="BalloonText">
    <w:name w:val="Balloon Text"/>
    <w:basedOn w:val="Normal"/>
    <w:link w:val="BalloonTextChar"/>
    <w:uiPriority w:val="99"/>
    <w:semiHidden/>
    <w:unhideWhenUsed/>
    <w:rsid w:val="00781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1797</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Trust Fund Review</vt:lpstr>
    </vt:vector>
  </TitlesOfParts>
  <Company>DSHS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Fund Review</dc:title>
  <dc:subject/>
  <dc:creator>Brombacher, Millie A. (DSHS/IGU)</dc:creator>
  <cp:keywords/>
  <dc:description/>
  <cp:lastModifiedBy>Brombacher, Millie A. (DSHS/IGU)</cp:lastModifiedBy>
  <cp:revision>2</cp:revision>
  <dcterms:created xsi:type="dcterms:W3CDTF">2019-05-31T14:32:00Z</dcterms:created>
  <dcterms:modified xsi:type="dcterms:W3CDTF">2019-05-31T14:32:00Z</dcterms:modified>
</cp:coreProperties>
</file>