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0"/>
        <w:gridCol w:w="1979"/>
        <w:gridCol w:w="3511"/>
        <w:gridCol w:w="3870"/>
      </w:tblGrid>
      <w:tr w:rsidR="00FE0093" w:rsidRPr="000F768A" w14:paraId="596CDF6C" w14:textId="77777777" w:rsidTr="00AE185D">
        <w:trPr>
          <w:trHeight w:val="80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7BFE3BB" w14:textId="705AE222" w:rsidR="00FE0093" w:rsidRPr="000F768A" w:rsidRDefault="00694AA6" w:rsidP="00FE0093">
            <w:pPr>
              <w:spacing w:before="40" w:after="40" w:line="240" w:lineRule="auto"/>
            </w:pPr>
            <w:r>
              <w:rPr>
                <w:noProof/>
              </w:rPr>
              <w:drawing>
                <wp:inline distT="0" distB="0" distL="0" distR="0" wp14:anchorId="01410615" wp14:editId="4E1AAC90">
                  <wp:extent cx="801370" cy="4616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7905199" w14:textId="77777777" w:rsidR="00FE0093" w:rsidRPr="00740EAD" w:rsidRDefault="00FE0093" w:rsidP="00FE009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40EAD">
              <w:rPr>
                <w:b/>
                <w:sz w:val="32"/>
                <w:szCs w:val="32"/>
              </w:rPr>
              <w:t>Notice to Parents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6486" w14:textId="3627DB22" w:rsidR="00FE0093" w:rsidRPr="00C547E2" w:rsidRDefault="00C547E2" w:rsidP="00967CF7">
            <w:pPr>
              <w:spacing w:after="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Date</w:t>
            </w:r>
          </w:p>
          <w:p w14:paraId="28F851F5" w14:textId="0D30E567" w:rsidR="00FE0093" w:rsidRPr="00C547E2" w:rsidRDefault="00FE0093" w:rsidP="0096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47E2" w:rsidRPr="000F768A" w14:paraId="6281A630" w14:textId="77777777" w:rsidTr="00AE185D">
        <w:trPr>
          <w:trHeight w:val="807"/>
        </w:trPr>
        <w:tc>
          <w:tcPr>
            <w:tcW w:w="720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4C6271A" w14:textId="0358902B" w:rsidR="00C547E2" w:rsidRPr="00C547E2" w:rsidRDefault="00C547E2" w:rsidP="00C547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Your child is living with a caregiver who doesn’t have legal custody of your child.  The caregiver has been approved for Temporary Assistance for Needy Families (TANF) cash.  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is required to tell you the caregiver is receiving cash assistance for your child, per WAC 388-454-0025.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1A73" w14:textId="05D8434B" w:rsidR="00C547E2" w:rsidRPr="00C547E2" w:rsidRDefault="00C547E2" w:rsidP="00C547E2">
            <w:pPr>
              <w:spacing w:after="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Community Services Office (CSO)</w:t>
            </w:r>
          </w:p>
          <w:p w14:paraId="50D6FBAB" w14:textId="73860BBA" w:rsidR="00C547E2" w:rsidRPr="00C547E2" w:rsidRDefault="00C547E2" w:rsidP="00C547E2">
            <w:pPr>
              <w:spacing w:after="0" w:line="240" w:lineRule="auto"/>
              <w:rPr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47E2" w:rsidRPr="000F768A" w14:paraId="7975D54C" w14:textId="77777777" w:rsidTr="00AE185D">
        <w:trPr>
          <w:trHeight w:val="807"/>
        </w:trPr>
        <w:tc>
          <w:tcPr>
            <w:tcW w:w="7200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DE65D36" w14:textId="77777777" w:rsidR="00C547E2" w:rsidRDefault="00C547E2" w:rsidP="00C547E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AD17" w14:textId="110FB495" w:rsidR="00C547E2" w:rsidRPr="00C547E2" w:rsidRDefault="00C547E2" w:rsidP="00C547E2">
            <w:pPr>
              <w:spacing w:after="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Telephone</w:t>
            </w:r>
          </w:p>
          <w:p w14:paraId="2992A2A1" w14:textId="2A943289" w:rsidR="00C547E2" w:rsidRPr="00C547E2" w:rsidRDefault="00C547E2" w:rsidP="00740EAD">
            <w:pPr>
              <w:spacing w:before="120" w:after="0" w:line="240" w:lineRule="auto"/>
              <w:rPr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t>1-877-501-2233</w:t>
            </w:r>
          </w:p>
        </w:tc>
      </w:tr>
      <w:tr w:rsidR="00C547E2" w:rsidRPr="000F768A" w14:paraId="12C03E22" w14:textId="77777777" w:rsidTr="00AE185D">
        <w:trPr>
          <w:trHeight w:hRule="exact" w:val="820"/>
        </w:trPr>
        <w:tc>
          <w:tcPr>
            <w:tcW w:w="3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E7F" w14:textId="26DDBF42" w:rsidR="00C547E2" w:rsidRPr="00C547E2" w:rsidRDefault="00CD0464" w:rsidP="00C54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Non-Custodial Parent’s </w:t>
            </w:r>
            <w:r w:rsidR="00C547E2" w:rsidRPr="00C547E2">
              <w:rPr>
                <w:sz w:val="24"/>
                <w:szCs w:val="24"/>
              </w:rPr>
              <w:t>Name</w:t>
            </w:r>
          </w:p>
          <w:p w14:paraId="605BE43A" w14:textId="693EC677" w:rsidR="00C547E2" w:rsidRPr="00C547E2" w:rsidRDefault="00C547E2" w:rsidP="00C54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BB45" w14:textId="6912FC46" w:rsidR="00C547E2" w:rsidRPr="00C547E2" w:rsidRDefault="00C547E2" w:rsidP="00C547E2">
            <w:pPr>
              <w:tabs>
                <w:tab w:val="left" w:pos="2501"/>
                <w:tab w:val="left" w:pos="4571"/>
                <w:tab w:val="left" w:pos="5471"/>
              </w:tabs>
              <w:spacing w:after="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Address</w:t>
            </w:r>
            <w:r w:rsidRPr="00C547E2">
              <w:rPr>
                <w:sz w:val="24"/>
                <w:szCs w:val="24"/>
              </w:rPr>
              <w:tab/>
              <w:t>City</w:t>
            </w:r>
            <w:r w:rsidRPr="00C547E2">
              <w:rPr>
                <w:sz w:val="24"/>
                <w:szCs w:val="24"/>
              </w:rPr>
              <w:tab/>
              <w:t>State</w:t>
            </w:r>
            <w:r w:rsidRPr="00C547E2">
              <w:rPr>
                <w:sz w:val="24"/>
                <w:szCs w:val="24"/>
              </w:rPr>
              <w:tab/>
              <w:t>Zip Code</w:t>
            </w:r>
          </w:p>
          <w:p w14:paraId="66883759" w14:textId="7434218D" w:rsidR="00C547E2" w:rsidRPr="00C547E2" w:rsidRDefault="00C547E2" w:rsidP="00C547E2">
            <w:pPr>
              <w:tabs>
                <w:tab w:val="left" w:pos="2501"/>
                <w:tab w:val="left" w:pos="4571"/>
                <w:tab w:val="left" w:pos="54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WA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47E2" w:rsidRPr="000F768A" w14:paraId="46800FB8" w14:textId="77777777" w:rsidTr="00AE185D">
        <w:trPr>
          <w:trHeight w:val="2024"/>
        </w:trPr>
        <w:tc>
          <w:tcPr>
            <w:tcW w:w="11070" w:type="dxa"/>
            <w:gridSpan w:val="4"/>
          </w:tcPr>
          <w:p w14:paraId="741C47EF" w14:textId="77777777" w:rsidR="00C547E2" w:rsidRPr="00C547E2" w:rsidRDefault="00C547E2" w:rsidP="00C547E2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TANF has been approved for your child(ren) listed below:</w:t>
            </w:r>
          </w:p>
          <w:p w14:paraId="7C0094C1" w14:textId="611295F1" w:rsidR="00C547E2" w:rsidRPr="00C547E2" w:rsidRDefault="00C547E2" w:rsidP="00C547E2">
            <w:pPr>
              <w:tabs>
                <w:tab w:val="right" w:pos="5206"/>
                <w:tab w:val="left" w:pos="5566"/>
                <w:tab w:val="right" w:pos="10606"/>
              </w:tabs>
              <w:spacing w:before="120" w:after="120"/>
              <w:rPr>
                <w:rFonts w:cs="Times New Roman"/>
                <w:sz w:val="24"/>
                <w:szCs w:val="24"/>
                <w:u w:val="single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  <w:r w:rsidRPr="00C547E2">
              <w:rPr>
                <w:sz w:val="24"/>
                <w:szCs w:val="24"/>
              </w:rPr>
              <w:tab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</w:p>
          <w:p w14:paraId="3D57B6E9" w14:textId="2BCA566C" w:rsidR="00C547E2" w:rsidRPr="00C547E2" w:rsidRDefault="00C547E2" w:rsidP="00C547E2">
            <w:pPr>
              <w:tabs>
                <w:tab w:val="right" w:pos="5206"/>
                <w:tab w:val="left" w:pos="5566"/>
                <w:tab w:val="right" w:pos="10606"/>
              </w:tabs>
              <w:spacing w:before="120" w:after="120"/>
              <w:rPr>
                <w:sz w:val="24"/>
                <w:szCs w:val="24"/>
                <w:u w:val="single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  <w:r w:rsidRPr="00C547E2">
              <w:rPr>
                <w:sz w:val="24"/>
                <w:szCs w:val="24"/>
              </w:rPr>
              <w:tab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</w:p>
          <w:p w14:paraId="6910D9CA" w14:textId="1875D414" w:rsidR="00C547E2" w:rsidRPr="00C547E2" w:rsidRDefault="00C547E2" w:rsidP="00C547E2">
            <w:pPr>
              <w:tabs>
                <w:tab w:val="right" w:pos="5206"/>
                <w:tab w:val="left" w:pos="5566"/>
                <w:tab w:val="right" w:pos="10606"/>
              </w:tabs>
              <w:spacing w:before="120" w:after="120"/>
              <w:rPr>
                <w:sz w:val="24"/>
                <w:szCs w:val="24"/>
                <w:u w:val="single"/>
              </w:rPr>
            </w:pP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  <w:r w:rsidRPr="00C547E2">
              <w:rPr>
                <w:sz w:val="24"/>
                <w:szCs w:val="24"/>
              </w:rPr>
              <w:tab/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074E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54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547E2">
              <w:rPr>
                <w:sz w:val="16"/>
                <w:szCs w:val="16"/>
                <w:u w:val="single"/>
              </w:rPr>
              <w:tab/>
            </w:r>
          </w:p>
        </w:tc>
      </w:tr>
      <w:tr w:rsidR="00C547E2" w:rsidRPr="000F768A" w14:paraId="1C1EC7F1" w14:textId="77777777" w:rsidTr="00AE185D">
        <w:tc>
          <w:tcPr>
            <w:tcW w:w="11070" w:type="dxa"/>
            <w:gridSpan w:val="4"/>
          </w:tcPr>
          <w:p w14:paraId="39E7F0EB" w14:textId="77777777" w:rsidR="00C547E2" w:rsidRPr="00C547E2" w:rsidRDefault="00C547E2" w:rsidP="00CD046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47E2">
              <w:rPr>
                <w:b/>
                <w:sz w:val="24"/>
                <w:szCs w:val="24"/>
              </w:rPr>
              <w:t xml:space="preserve">What are your rights? </w:t>
            </w:r>
          </w:p>
          <w:p w14:paraId="12123081" w14:textId="16D0EE74" w:rsidR="00C547E2" w:rsidRPr="00C547E2" w:rsidRDefault="00C547E2" w:rsidP="00CD0464">
            <w:p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has seven days to contact you by mail that your child(ren) was approved for cash. </w:t>
            </w:r>
          </w:p>
          <w:p w14:paraId="5EDB8321" w14:textId="77777777" w:rsidR="00C547E2" w:rsidRPr="00C547E2" w:rsidRDefault="00C547E2" w:rsidP="00CD046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47E2">
              <w:rPr>
                <w:b/>
                <w:sz w:val="24"/>
                <w:szCs w:val="24"/>
              </w:rPr>
              <w:t xml:space="preserve">How do you request the child’s address or location? </w:t>
            </w:r>
          </w:p>
          <w:p w14:paraId="264260A8" w14:textId="77777777" w:rsidR="00C547E2" w:rsidRPr="00C547E2" w:rsidRDefault="00C547E2" w:rsidP="00CD0464">
            <w:pPr>
              <w:numPr>
                <w:ilvl w:val="0"/>
                <w:numId w:val="1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You can provide the court order, visitation rights, or residential time, and a modified sworn statement in-person, with photo identification, at a local Community Service Office (CSO</w:t>
            </w:r>
            <w:proofErr w:type="gramStart"/>
            <w:r w:rsidRPr="00C547E2">
              <w:rPr>
                <w:sz w:val="24"/>
                <w:szCs w:val="24"/>
              </w:rPr>
              <w:t>);</w:t>
            </w:r>
            <w:proofErr w:type="gramEnd"/>
            <w:r w:rsidRPr="00C547E2">
              <w:rPr>
                <w:sz w:val="24"/>
                <w:szCs w:val="24"/>
              </w:rPr>
              <w:t xml:space="preserve"> </w:t>
            </w:r>
          </w:p>
          <w:p w14:paraId="5B82D470" w14:textId="26DA2A9E" w:rsidR="00C547E2" w:rsidRPr="00C547E2" w:rsidRDefault="00C547E2" w:rsidP="00CD0464">
            <w:pPr>
              <w:numPr>
                <w:ilvl w:val="0"/>
                <w:numId w:val="1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You can have an attorney contact 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>; or</w:t>
            </w:r>
          </w:p>
          <w:p w14:paraId="451CAA7F" w14:textId="77777777" w:rsidR="00C547E2" w:rsidRPr="00C547E2" w:rsidRDefault="00C547E2" w:rsidP="00CD0464">
            <w:pPr>
              <w:numPr>
                <w:ilvl w:val="0"/>
                <w:numId w:val="1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If you live outside the state of Washington, mail in a notarized request stating who you are, how you are related to the child(ren) and the information you are requesting. </w:t>
            </w:r>
          </w:p>
          <w:p w14:paraId="77C5B3DC" w14:textId="484B0204" w:rsidR="00C547E2" w:rsidRPr="00C547E2" w:rsidRDefault="00C547E2" w:rsidP="00CD046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47E2">
              <w:rPr>
                <w:b/>
                <w:sz w:val="24"/>
                <w:szCs w:val="24"/>
              </w:rPr>
              <w:t xml:space="preserve">Does the </w:t>
            </w:r>
            <w:r w:rsidR="00CD0464">
              <w:rPr>
                <w:b/>
                <w:sz w:val="24"/>
                <w:szCs w:val="24"/>
              </w:rPr>
              <w:t>Division of Child Support</w:t>
            </w:r>
            <w:r w:rsidRPr="00C547E2">
              <w:rPr>
                <w:b/>
                <w:sz w:val="24"/>
                <w:szCs w:val="24"/>
              </w:rPr>
              <w:t xml:space="preserve"> contact the caregiver when you request the address? </w:t>
            </w:r>
          </w:p>
          <w:p w14:paraId="7691E412" w14:textId="1281E45B" w:rsidR="00C547E2" w:rsidRPr="00C547E2" w:rsidRDefault="00C547E2" w:rsidP="00CD0464">
            <w:p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Yes, 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will give the caregiver 30 </w:t>
            </w:r>
            <w:proofErr w:type="spellStart"/>
            <w:proofErr w:type="gramStart"/>
            <w:r w:rsidRPr="00C547E2">
              <w:rPr>
                <w:sz w:val="24"/>
                <w:szCs w:val="24"/>
              </w:rPr>
              <w:t>days</w:t>
            </w:r>
            <w:proofErr w:type="gramEnd"/>
            <w:r w:rsidRPr="00C547E2">
              <w:rPr>
                <w:sz w:val="24"/>
                <w:szCs w:val="24"/>
              </w:rPr>
              <w:t xml:space="preserve"> notice</w:t>
            </w:r>
            <w:proofErr w:type="spellEnd"/>
            <w:r w:rsidRPr="00C547E2">
              <w:rPr>
                <w:sz w:val="24"/>
                <w:szCs w:val="24"/>
              </w:rPr>
              <w:t xml:space="preserve"> that you are requesting the child’s address. </w:t>
            </w:r>
          </w:p>
          <w:p w14:paraId="55E78F22" w14:textId="77777777" w:rsidR="00C547E2" w:rsidRPr="00C547E2" w:rsidRDefault="00C547E2" w:rsidP="00CD046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47E2">
              <w:rPr>
                <w:b/>
                <w:sz w:val="24"/>
                <w:szCs w:val="24"/>
              </w:rPr>
              <w:t xml:space="preserve">What can the caregiver do if they do not feel it’s safe to provide </w:t>
            </w:r>
            <w:proofErr w:type="gramStart"/>
            <w:r w:rsidRPr="00C547E2">
              <w:rPr>
                <w:b/>
                <w:sz w:val="24"/>
                <w:szCs w:val="24"/>
              </w:rPr>
              <w:t>you</w:t>
            </w:r>
            <w:proofErr w:type="gramEnd"/>
            <w:r w:rsidRPr="00C547E2">
              <w:rPr>
                <w:b/>
                <w:sz w:val="24"/>
                <w:szCs w:val="24"/>
              </w:rPr>
              <w:t xml:space="preserve"> the child’s address?  </w:t>
            </w:r>
          </w:p>
          <w:p w14:paraId="2F6AEA49" w14:textId="6858E953" w:rsidR="00C547E2" w:rsidRPr="00C547E2" w:rsidRDefault="00C547E2" w:rsidP="00CD0464">
            <w:pPr>
              <w:numPr>
                <w:ilvl w:val="0"/>
                <w:numId w:val="2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The caregiver can provide 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information of any abuse / neglect concerns, </w:t>
            </w:r>
          </w:p>
          <w:p w14:paraId="33AAD1AE" w14:textId="217A54E4" w:rsidR="00C547E2" w:rsidRPr="00C547E2" w:rsidRDefault="00C547E2" w:rsidP="00CD0464">
            <w:pPr>
              <w:numPr>
                <w:ilvl w:val="0"/>
                <w:numId w:val="2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File for Good Cause from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of Child Support (DCS), due to fear of threat of harm to the caregiver / child(ren), </w:t>
            </w:r>
          </w:p>
          <w:p w14:paraId="3B3ACDEA" w14:textId="381FB99C" w:rsidR="00C547E2" w:rsidRPr="00C547E2" w:rsidRDefault="00C547E2" w:rsidP="00CD0464">
            <w:pPr>
              <w:numPr>
                <w:ilvl w:val="0"/>
                <w:numId w:val="2"/>
              </w:num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 xml:space="preserve">File an administrative hearing request and an Administrative Law Judge will determine if the </w:t>
            </w:r>
            <w:r w:rsidR="00CD0464">
              <w:rPr>
                <w:sz w:val="24"/>
                <w:szCs w:val="24"/>
              </w:rPr>
              <w:t>Division of Child Support</w:t>
            </w:r>
            <w:r w:rsidRPr="00C547E2">
              <w:rPr>
                <w:sz w:val="24"/>
                <w:szCs w:val="24"/>
              </w:rPr>
              <w:t xml:space="preserve"> can provide </w:t>
            </w:r>
            <w:proofErr w:type="gramStart"/>
            <w:r w:rsidRPr="00C547E2">
              <w:rPr>
                <w:sz w:val="24"/>
                <w:szCs w:val="24"/>
              </w:rPr>
              <w:t>you</w:t>
            </w:r>
            <w:proofErr w:type="gramEnd"/>
            <w:r w:rsidRPr="00C547E2">
              <w:rPr>
                <w:sz w:val="24"/>
                <w:szCs w:val="24"/>
              </w:rPr>
              <w:t xml:space="preserve"> the address. </w:t>
            </w:r>
          </w:p>
          <w:p w14:paraId="59FA4B58" w14:textId="77777777" w:rsidR="00C547E2" w:rsidRPr="00C547E2" w:rsidRDefault="00C547E2" w:rsidP="00CD046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47E2">
              <w:rPr>
                <w:b/>
                <w:sz w:val="24"/>
                <w:szCs w:val="24"/>
              </w:rPr>
              <w:t>What services are available to you?</w:t>
            </w:r>
          </w:p>
          <w:p w14:paraId="722957CA" w14:textId="77777777" w:rsidR="00C547E2" w:rsidRPr="00C547E2" w:rsidRDefault="00C547E2" w:rsidP="00CD0464">
            <w:pPr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DSHS Community Service Contact Center 1-877-501-2233 or TTY 1-800-833-6384.</w:t>
            </w:r>
          </w:p>
          <w:p w14:paraId="3719E502" w14:textId="08C6DF81" w:rsidR="00C547E2" w:rsidRPr="00C547E2" w:rsidRDefault="00AE185D" w:rsidP="00CD0464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  <w:r w:rsidR="00C547E2" w:rsidRPr="00C547E2">
              <w:rPr>
                <w:sz w:val="24"/>
                <w:szCs w:val="24"/>
              </w:rPr>
              <w:t xml:space="preserve"> of Children, Youth, and Families (DCYF), Washington State END HARM line </w:t>
            </w:r>
            <w:r>
              <w:rPr>
                <w:sz w:val="24"/>
                <w:szCs w:val="24"/>
              </w:rPr>
              <w:br/>
            </w:r>
            <w:r w:rsidR="00C547E2" w:rsidRPr="00C547E2">
              <w:rPr>
                <w:sz w:val="24"/>
                <w:szCs w:val="24"/>
              </w:rPr>
              <w:t>1-866-363-4276.</w:t>
            </w:r>
          </w:p>
          <w:p w14:paraId="777344AE" w14:textId="77777777" w:rsidR="00C547E2" w:rsidRPr="00C547E2" w:rsidRDefault="00C547E2" w:rsidP="00CD0464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24"/>
                <w:szCs w:val="24"/>
              </w:rPr>
            </w:pPr>
            <w:r w:rsidRPr="00C547E2">
              <w:rPr>
                <w:sz w:val="24"/>
                <w:szCs w:val="24"/>
              </w:rPr>
              <w:t>The Washington State Runaway Youth Information Hotline 1-800-486-9612.</w:t>
            </w:r>
          </w:p>
        </w:tc>
      </w:tr>
    </w:tbl>
    <w:p w14:paraId="63E91E6C" w14:textId="77777777" w:rsidR="00D126CE" w:rsidRDefault="00D126CE"/>
    <w:sectPr w:rsidR="00D126CE" w:rsidSect="00035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0F7C" w14:textId="77777777" w:rsidR="008515C4" w:rsidRDefault="008515C4" w:rsidP="003C5DBD">
      <w:pPr>
        <w:spacing w:after="0" w:line="240" w:lineRule="auto"/>
      </w:pPr>
      <w:r>
        <w:separator/>
      </w:r>
    </w:p>
  </w:endnote>
  <w:endnote w:type="continuationSeparator" w:id="0">
    <w:p w14:paraId="5A4C723C" w14:textId="77777777" w:rsidR="008515C4" w:rsidRDefault="008515C4" w:rsidP="003C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46AE" w14:textId="4E6BD8A9" w:rsidR="003C5DBD" w:rsidRPr="00740EAD" w:rsidRDefault="003C5DBD">
    <w:pPr>
      <w:pStyle w:val="Footer"/>
      <w:rPr>
        <w:bCs/>
        <w:sz w:val="24"/>
        <w:szCs w:val="24"/>
      </w:rPr>
    </w:pPr>
    <w:r w:rsidRPr="00740EAD">
      <w:rPr>
        <w:bCs/>
        <w:sz w:val="24"/>
        <w:szCs w:val="24"/>
      </w:rPr>
      <w:t>DSHS</w:t>
    </w:r>
    <w:r w:rsidR="00FE0093" w:rsidRPr="00740EAD">
      <w:rPr>
        <w:bCs/>
        <w:sz w:val="24"/>
        <w:szCs w:val="24"/>
      </w:rPr>
      <w:t xml:space="preserve"> 14-402 (</w:t>
    </w:r>
    <w:r w:rsidR="00740EAD" w:rsidRPr="00740EAD">
      <w:rPr>
        <w:bCs/>
        <w:sz w:val="24"/>
        <w:szCs w:val="24"/>
      </w:rPr>
      <w:t>Rev</w:t>
    </w:r>
    <w:r w:rsidR="00FE0093" w:rsidRPr="00740EAD">
      <w:rPr>
        <w:bCs/>
        <w:sz w:val="24"/>
        <w:szCs w:val="24"/>
      </w:rPr>
      <w:t>. 0</w:t>
    </w:r>
    <w:r w:rsidR="00AE185D">
      <w:rPr>
        <w:bCs/>
        <w:sz w:val="24"/>
        <w:szCs w:val="24"/>
      </w:rPr>
      <w:t>6</w:t>
    </w:r>
    <w:r w:rsidR="00FE0093" w:rsidRPr="00740EAD">
      <w:rPr>
        <w:bCs/>
        <w:sz w:val="24"/>
        <w:szCs w:val="24"/>
      </w:rPr>
      <w:t>/20</w:t>
    </w:r>
    <w:r w:rsidR="00740EAD">
      <w:rPr>
        <w:bCs/>
        <w:sz w:val="24"/>
        <w:szCs w:val="24"/>
      </w:rPr>
      <w:t>23</w:t>
    </w:r>
    <w:r w:rsidR="00FE0093" w:rsidRPr="00740EAD">
      <w:rPr>
        <w:bCs/>
        <w:sz w:val="24"/>
        <w:szCs w:val="24"/>
      </w:rPr>
      <w:t>)</w:t>
    </w:r>
  </w:p>
  <w:p w14:paraId="637542EC" w14:textId="4A0E7AF6" w:rsidR="00FE0093" w:rsidRPr="00740EAD" w:rsidRDefault="00FE0093" w:rsidP="00FE0093">
    <w:pPr>
      <w:pStyle w:val="Footer"/>
      <w:jc w:val="center"/>
      <w:rPr>
        <w:b/>
        <w:sz w:val="24"/>
        <w:szCs w:val="24"/>
      </w:rPr>
    </w:pPr>
    <w:r w:rsidRPr="00740EAD">
      <w:rPr>
        <w:b/>
        <w:sz w:val="24"/>
        <w:szCs w:val="24"/>
      </w:rPr>
      <w:t>C</w:t>
    </w:r>
    <w:r w:rsidR="00740EAD" w:rsidRPr="00740EAD">
      <w:rPr>
        <w:b/>
        <w:sz w:val="24"/>
        <w:szCs w:val="24"/>
      </w:rPr>
      <w:t>opies to</w:t>
    </w:r>
    <w:r w:rsidRPr="00740EAD">
      <w:rPr>
        <w:b/>
        <w:sz w:val="24"/>
        <w:szCs w:val="24"/>
      </w:rPr>
      <w:t xml:space="preserve">:  </w:t>
    </w:r>
    <w:r w:rsidRPr="00740EAD">
      <w:rPr>
        <w:sz w:val="24"/>
        <w:szCs w:val="24"/>
      </w:rPr>
      <w:t xml:space="preserve">Parent; </w:t>
    </w:r>
    <w:r w:rsidR="004005F8" w:rsidRPr="00740EAD">
      <w:rPr>
        <w:sz w:val="24"/>
        <w:szCs w:val="24"/>
      </w:rPr>
      <w:t xml:space="preserve">Electronic </w:t>
    </w:r>
    <w:r w:rsidRPr="00740EAD">
      <w:rPr>
        <w:sz w:val="24"/>
        <w:szCs w:val="24"/>
      </w:rPr>
      <w:t>Case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463A" w14:textId="77777777" w:rsidR="008515C4" w:rsidRDefault="008515C4" w:rsidP="003C5DBD">
      <w:pPr>
        <w:spacing w:after="0" w:line="240" w:lineRule="auto"/>
      </w:pPr>
      <w:r>
        <w:separator/>
      </w:r>
    </w:p>
  </w:footnote>
  <w:footnote w:type="continuationSeparator" w:id="0">
    <w:p w14:paraId="6F0234B4" w14:textId="77777777" w:rsidR="008515C4" w:rsidRDefault="008515C4" w:rsidP="003C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65B3"/>
    <w:multiLevelType w:val="hybridMultilevel"/>
    <w:tmpl w:val="82E4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5DE6"/>
    <w:multiLevelType w:val="hybridMultilevel"/>
    <w:tmpl w:val="2850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3636">
    <w:abstractNumId w:val="1"/>
  </w:num>
  <w:num w:numId="2" w16cid:durableId="12313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9SBiJP9TtNWJM2v9HNhOhx7+Fik5QvsZTxtYOKleCF3b8I/9K/ZsaB/1ysyZ0YdXnukX2F4j22Axs14TwRpxzg==" w:salt="A+chqPIPIf8WsnRP85Jiag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BD"/>
    <w:rsid w:val="00003727"/>
    <w:rsid w:val="00035FBF"/>
    <w:rsid w:val="000A3567"/>
    <w:rsid w:val="000F768A"/>
    <w:rsid w:val="003C5DBD"/>
    <w:rsid w:val="004005F8"/>
    <w:rsid w:val="005C7AF7"/>
    <w:rsid w:val="00694AA6"/>
    <w:rsid w:val="00740EAD"/>
    <w:rsid w:val="008515C4"/>
    <w:rsid w:val="008F5765"/>
    <w:rsid w:val="00967CF7"/>
    <w:rsid w:val="00A37515"/>
    <w:rsid w:val="00AE185D"/>
    <w:rsid w:val="00B90CB6"/>
    <w:rsid w:val="00BE58B2"/>
    <w:rsid w:val="00C547E2"/>
    <w:rsid w:val="00CD0464"/>
    <w:rsid w:val="00D126CE"/>
    <w:rsid w:val="00E074E3"/>
    <w:rsid w:val="00F27C22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FA7E"/>
  <w15:chartTrackingRefBased/>
  <w15:docId w15:val="{2BE56B47-426D-40FB-97CC-E46B0C5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DBD"/>
  </w:style>
  <w:style w:type="paragraph" w:styleId="Footer">
    <w:name w:val="footer"/>
    <w:basedOn w:val="Normal"/>
    <w:link w:val="FooterChar"/>
    <w:uiPriority w:val="99"/>
    <w:unhideWhenUsed/>
    <w:rsid w:val="003C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BD"/>
  </w:style>
  <w:style w:type="paragraph" w:styleId="Revision">
    <w:name w:val="Revision"/>
    <w:hidden/>
    <w:uiPriority w:val="99"/>
    <w:semiHidden/>
    <w:rsid w:val="0040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Parents</vt:lpstr>
    </vt:vector>
  </TitlesOfParts>
  <Company>Exec IT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Parents</dc:title>
  <dc:subject/>
  <dc:creator>brombma</dc:creator>
  <cp:keywords/>
  <cp:lastModifiedBy>Brombacher, Millie (DSHS/OOS/OIG)</cp:lastModifiedBy>
  <cp:revision>7</cp:revision>
  <dcterms:created xsi:type="dcterms:W3CDTF">2023-04-26T18:04:00Z</dcterms:created>
  <dcterms:modified xsi:type="dcterms:W3CDTF">2023-06-22T21:01:00Z</dcterms:modified>
</cp:coreProperties>
</file>